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15C2" w14:textId="77777777" w:rsidR="00DE15DB" w:rsidRDefault="00DE15DB" w:rsidP="004D385A">
      <w:pPr>
        <w:spacing w:line="360" w:lineRule="auto"/>
        <w:ind w:left="720" w:hanging="720"/>
      </w:pPr>
    </w:p>
    <w:p w14:paraId="3C77AF9C" w14:textId="77777777" w:rsidR="00DE15DB" w:rsidRDefault="00DE15DB" w:rsidP="004D385A">
      <w:pPr>
        <w:spacing w:line="360" w:lineRule="auto"/>
        <w:ind w:left="720" w:hanging="720"/>
      </w:pPr>
    </w:p>
    <w:p w14:paraId="50C4D0AD" w14:textId="77777777" w:rsidR="00DE15DB" w:rsidRDefault="00DE15DB" w:rsidP="004D385A">
      <w:pPr>
        <w:spacing w:line="360" w:lineRule="auto"/>
        <w:ind w:left="720" w:hanging="720"/>
      </w:pPr>
    </w:p>
    <w:p w14:paraId="34CCF3C6" w14:textId="77777777" w:rsidR="00DE15DB" w:rsidRDefault="00DE15DB" w:rsidP="00DE15DB">
      <w:pPr>
        <w:spacing w:line="360" w:lineRule="auto"/>
        <w:ind w:left="720" w:hanging="720"/>
        <w:jc w:val="center"/>
        <w:rPr>
          <w:b/>
          <w:bCs/>
          <w:sz w:val="36"/>
          <w:szCs w:val="36"/>
        </w:rPr>
      </w:pPr>
    </w:p>
    <w:p w14:paraId="5684E316" w14:textId="77777777" w:rsidR="00DE15DB" w:rsidRDefault="00DE15DB" w:rsidP="00DE15DB">
      <w:pPr>
        <w:spacing w:line="360" w:lineRule="auto"/>
        <w:ind w:left="720" w:hanging="720"/>
        <w:jc w:val="center"/>
        <w:rPr>
          <w:b/>
          <w:bCs/>
          <w:sz w:val="36"/>
          <w:szCs w:val="36"/>
        </w:rPr>
      </w:pPr>
    </w:p>
    <w:p w14:paraId="40AE386D" w14:textId="77777777" w:rsidR="00DE15DB" w:rsidRDefault="00DE15DB" w:rsidP="00DE15DB">
      <w:pPr>
        <w:spacing w:line="360" w:lineRule="auto"/>
        <w:ind w:left="720" w:hanging="720"/>
        <w:jc w:val="center"/>
        <w:rPr>
          <w:b/>
          <w:bCs/>
          <w:sz w:val="36"/>
          <w:szCs w:val="36"/>
        </w:rPr>
      </w:pPr>
    </w:p>
    <w:p w14:paraId="22312A2E" w14:textId="4308B901" w:rsidR="00DE15DB" w:rsidRPr="00DE15DB" w:rsidRDefault="00DE15DB" w:rsidP="00DE15DB">
      <w:pPr>
        <w:spacing w:line="360" w:lineRule="auto"/>
        <w:ind w:left="720" w:hanging="720"/>
        <w:jc w:val="center"/>
        <w:rPr>
          <w:b/>
          <w:bCs/>
          <w:sz w:val="56"/>
          <w:szCs w:val="56"/>
        </w:rPr>
      </w:pPr>
      <w:r w:rsidRPr="00DE15DB">
        <w:rPr>
          <w:b/>
          <w:bCs/>
          <w:sz w:val="56"/>
          <w:szCs w:val="56"/>
        </w:rPr>
        <w:t>A Free Market is a Fair Market</w:t>
      </w:r>
    </w:p>
    <w:p w14:paraId="4EAD13E4" w14:textId="77777777" w:rsidR="00DE15DB" w:rsidRDefault="00DE15DB" w:rsidP="00DE15DB">
      <w:pPr>
        <w:spacing w:line="360" w:lineRule="auto"/>
        <w:ind w:left="720" w:hanging="720"/>
        <w:jc w:val="center"/>
        <w:rPr>
          <w:b/>
          <w:bCs/>
          <w:sz w:val="36"/>
          <w:szCs w:val="36"/>
        </w:rPr>
      </w:pPr>
    </w:p>
    <w:p w14:paraId="7EA78200" w14:textId="77777777" w:rsidR="00DE15DB" w:rsidRDefault="00DE15DB" w:rsidP="00DE15DB">
      <w:pPr>
        <w:spacing w:line="360" w:lineRule="auto"/>
        <w:ind w:left="720" w:hanging="720"/>
        <w:jc w:val="center"/>
        <w:rPr>
          <w:b/>
          <w:bCs/>
          <w:sz w:val="36"/>
          <w:szCs w:val="36"/>
        </w:rPr>
      </w:pPr>
    </w:p>
    <w:p w14:paraId="74A08D6A" w14:textId="77777777" w:rsidR="00DE15DB" w:rsidRDefault="00DE15DB" w:rsidP="00DE15DB">
      <w:pPr>
        <w:spacing w:line="360" w:lineRule="auto"/>
        <w:ind w:left="720" w:hanging="720"/>
        <w:jc w:val="center"/>
        <w:rPr>
          <w:b/>
          <w:bCs/>
          <w:sz w:val="36"/>
          <w:szCs w:val="36"/>
        </w:rPr>
      </w:pPr>
    </w:p>
    <w:p w14:paraId="09D8B832" w14:textId="77777777" w:rsidR="00DE15DB" w:rsidRDefault="00DE15DB" w:rsidP="00DE15DB">
      <w:pPr>
        <w:spacing w:line="360" w:lineRule="auto"/>
        <w:ind w:left="720" w:hanging="720"/>
        <w:jc w:val="center"/>
        <w:rPr>
          <w:b/>
          <w:bCs/>
          <w:sz w:val="36"/>
          <w:szCs w:val="36"/>
        </w:rPr>
      </w:pPr>
    </w:p>
    <w:p w14:paraId="77837FFF" w14:textId="77777777" w:rsidR="00DE15DB" w:rsidRDefault="00DE15DB" w:rsidP="00DE15DB">
      <w:pPr>
        <w:spacing w:line="360" w:lineRule="auto"/>
        <w:ind w:left="720" w:hanging="720"/>
        <w:jc w:val="center"/>
        <w:rPr>
          <w:b/>
          <w:bCs/>
          <w:sz w:val="36"/>
          <w:szCs w:val="36"/>
        </w:rPr>
      </w:pPr>
    </w:p>
    <w:p w14:paraId="43703AAA" w14:textId="77777777" w:rsidR="003130AC" w:rsidRDefault="003130AC" w:rsidP="00DE15DB">
      <w:pPr>
        <w:spacing w:line="360" w:lineRule="auto"/>
        <w:ind w:left="720" w:hanging="720"/>
        <w:jc w:val="center"/>
        <w:rPr>
          <w:b/>
          <w:bCs/>
          <w:sz w:val="36"/>
          <w:szCs w:val="36"/>
        </w:rPr>
      </w:pPr>
    </w:p>
    <w:p w14:paraId="02AC032F" w14:textId="77777777" w:rsidR="003130AC" w:rsidRDefault="003130AC" w:rsidP="00DE15DB">
      <w:pPr>
        <w:spacing w:line="360" w:lineRule="auto"/>
        <w:ind w:left="720" w:hanging="720"/>
        <w:jc w:val="center"/>
        <w:rPr>
          <w:b/>
          <w:bCs/>
          <w:sz w:val="36"/>
          <w:szCs w:val="36"/>
        </w:rPr>
      </w:pPr>
    </w:p>
    <w:p w14:paraId="01CD8ACF" w14:textId="13FEEAA4" w:rsidR="00DE15DB" w:rsidRPr="003130AC" w:rsidRDefault="003130AC" w:rsidP="003130AC">
      <w:pPr>
        <w:spacing w:after="0" w:line="360" w:lineRule="auto"/>
        <w:ind w:left="720" w:hanging="720"/>
        <w:rPr>
          <w:b/>
          <w:bCs/>
          <w:sz w:val="28"/>
          <w:szCs w:val="28"/>
        </w:rPr>
      </w:pPr>
      <w:r w:rsidRPr="003130AC">
        <w:rPr>
          <w:b/>
          <w:bCs/>
          <w:sz w:val="28"/>
          <w:szCs w:val="28"/>
        </w:rPr>
        <w:t>Charles Sauer</w:t>
      </w:r>
    </w:p>
    <w:p w14:paraId="316E18F9" w14:textId="67C0D482" w:rsidR="003130AC" w:rsidRPr="003130AC" w:rsidRDefault="00DE15DB" w:rsidP="003130AC">
      <w:pPr>
        <w:spacing w:after="0" w:line="360" w:lineRule="auto"/>
        <w:ind w:left="720" w:hanging="720"/>
        <w:rPr>
          <w:b/>
          <w:bCs/>
          <w:sz w:val="28"/>
          <w:szCs w:val="28"/>
        </w:rPr>
      </w:pPr>
      <w:r w:rsidRPr="003130AC">
        <w:rPr>
          <w:b/>
          <w:bCs/>
          <w:sz w:val="28"/>
          <w:szCs w:val="28"/>
        </w:rPr>
        <w:t>Norm Singleton</w:t>
      </w:r>
    </w:p>
    <w:p w14:paraId="3BC1B6B9" w14:textId="77777777" w:rsidR="003130AC" w:rsidRDefault="003130AC" w:rsidP="003130AC">
      <w:pPr>
        <w:spacing w:after="0" w:line="360" w:lineRule="auto"/>
        <w:ind w:left="720" w:hanging="720"/>
        <w:jc w:val="right"/>
        <w:rPr>
          <w:sz w:val="16"/>
          <w:szCs w:val="16"/>
        </w:rPr>
      </w:pPr>
    </w:p>
    <w:p w14:paraId="5EE0ADE2" w14:textId="438761DA" w:rsidR="00DE15DB" w:rsidRPr="003130AC" w:rsidRDefault="003130AC" w:rsidP="003130AC">
      <w:pPr>
        <w:spacing w:after="0" w:line="360" w:lineRule="auto"/>
        <w:ind w:left="720" w:hanging="720"/>
        <w:jc w:val="right"/>
        <w:rPr>
          <w:sz w:val="16"/>
          <w:szCs w:val="16"/>
        </w:rPr>
      </w:pPr>
      <w:proofErr w:type="gramStart"/>
      <w:r w:rsidRPr="003130AC">
        <w:rPr>
          <w:sz w:val="16"/>
          <w:szCs w:val="16"/>
        </w:rPr>
        <w:t>April,</w:t>
      </w:r>
      <w:proofErr w:type="gramEnd"/>
      <w:r w:rsidRPr="003130AC">
        <w:rPr>
          <w:sz w:val="16"/>
          <w:szCs w:val="16"/>
        </w:rPr>
        <w:t xml:space="preserve"> 2023</w:t>
      </w:r>
    </w:p>
    <w:p w14:paraId="7D7921DB" w14:textId="27619569" w:rsidR="00746354" w:rsidRPr="00DE15DB" w:rsidRDefault="00746354" w:rsidP="00DE15DB">
      <w:pPr>
        <w:pStyle w:val="ListParagraph"/>
        <w:numPr>
          <w:ilvl w:val="0"/>
          <w:numId w:val="1"/>
        </w:numPr>
        <w:spacing w:line="360" w:lineRule="auto"/>
        <w:rPr>
          <w:rFonts w:cstheme="minorHAnsi"/>
          <w:b/>
          <w:bCs/>
          <w:sz w:val="24"/>
          <w:szCs w:val="24"/>
        </w:rPr>
      </w:pPr>
      <w:r w:rsidRPr="00DE15DB">
        <w:rPr>
          <w:rFonts w:cstheme="minorHAnsi"/>
          <w:b/>
          <w:bCs/>
          <w:sz w:val="24"/>
          <w:szCs w:val="24"/>
        </w:rPr>
        <w:lastRenderedPageBreak/>
        <w:t>A Free Market Is a Fair Market</w:t>
      </w:r>
    </w:p>
    <w:p w14:paraId="2B14BF67" w14:textId="52ADCBDD" w:rsidR="00746354" w:rsidRPr="0064622B" w:rsidRDefault="00746354" w:rsidP="004D385A">
      <w:pPr>
        <w:spacing w:line="360" w:lineRule="auto"/>
        <w:rPr>
          <w:rFonts w:cstheme="minorHAnsi"/>
          <w:sz w:val="24"/>
          <w:szCs w:val="24"/>
        </w:rPr>
      </w:pPr>
      <w:r w:rsidRPr="0064622B">
        <w:rPr>
          <w:rFonts w:cstheme="minorHAnsi"/>
          <w:sz w:val="24"/>
          <w:szCs w:val="24"/>
        </w:rPr>
        <w:t>November 10, 2022</w:t>
      </w:r>
      <w:r w:rsidR="00355E00">
        <w:rPr>
          <w:rFonts w:cstheme="minorHAnsi"/>
          <w:sz w:val="24"/>
          <w:szCs w:val="24"/>
        </w:rPr>
        <w:t>,</w:t>
      </w:r>
      <w:r w:rsidRPr="0064622B">
        <w:rPr>
          <w:rFonts w:cstheme="minorHAnsi"/>
          <w:sz w:val="24"/>
          <w:szCs w:val="24"/>
        </w:rPr>
        <w:t xml:space="preserve"> marked a significant day in American regulatory history because the Federal Trade Commission (FTC) released </w:t>
      </w:r>
      <w:r w:rsidR="0050096B" w:rsidRPr="0064622B">
        <w:rPr>
          <w:rFonts w:cstheme="minorHAnsi"/>
          <w:sz w:val="24"/>
          <w:szCs w:val="24"/>
        </w:rPr>
        <w:t>its</w:t>
      </w:r>
      <w:r w:rsidRPr="0064622B">
        <w:rPr>
          <w:rFonts w:cstheme="minorHAnsi"/>
          <w:sz w:val="24"/>
          <w:szCs w:val="24"/>
        </w:rPr>
        <w:t xml:space="preserve"> “Policy Statement Regarding Unfair Methods of Competition Under Section 5 of the Federal Trade Commission Act.”</w:t>
      </w:r>
      <w:r w:rsidRPr="0064622B">
        <w:rPr>
          <w:rStyle w:val="FootnoteReference"/>
          <w:rFonts w:cstheme="minorHAnsi"/>
          <w:sz w:val="24"/>
          <w:szCs w:val="24"/>
        </w:rPr>
        <w:footnoteReference w:id="1"/>
      </w:r>
      <w:r w:rsidR="002F4E92" w:rsidRPr="0064622B">
        <w:rPr>
          <w:rFonts w:cstheme="minorHAnsi"/>
          <w:sz w:val="24"/>
          <w:szCs w:val="24"/>
        </w:rPr>
        <w:t xml:space="preserve"> </w:t>
      </w:r>
      <w:r w:rsidRPr="0064622B">
        <w:rPr>
          <w:rFonts w:cstheme="minorHAnsi"/>
          <w:sz w:val="24"/>
          <w:szCs w:val="24"/>
        </w:rPr>
        <w:t xml:space="preserve">Behind this wonky title is a dramatic reinterpretation and expansion of the FTC’s authority. The agency based this expansion on a revised interpretation of Section 5 of the Federal Trade Commission Act, which tasks the agency with punishing businesses who engage in “unfair” methods of competition. </w:t>
      </w:r>
    </w:p>
    <w:p w14:paraId="55FF9B2C" w14:textId="1C656F69" w:rsidR="00746354" w:rsidRPr="0064622B" w:rsidRDefault="001C312C" w:rsidP="004D385A">
      <w:pPr>
        <w:spacing w:line="360" w:lineRule="auto"/>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36B20BAE" wp14:editId="35F452E2">
            <wp:simplePos x="0" y="0"/>
            <wp:positionH relativeFrom="margin">
              <wp:align>left</wp:align>
            </wp:positionH>
            <wp:positionV relativeFrom="paragraph">
              <wp:posOffset>4445</wp:posOffset>
            </wp:positionV>
            <wp:extent cx="3789045" cy="2705100"/>
            <wp:effectExtent l="19050" t="19050" r="2095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9045" cy="2705100"/>
                    </a:xfrm>
                    <a:prstGeom prst="rect">
                      <a:avLst/>
                    </a:prstGeom>
                    <a:ln>
                      <a:solidFill>
                        <a:schemeClr val="tx1"/>
                      </a:solidFill>
                    </a:ln>
                  </pic:spPr>
                </pic:pic>
              </a:graphicData>
            </a:graphic>
          </wp:anchor>
        </w:drawing>
      </w:r>
      <w:r w:rsidR="00746354" w:rsidRPr="0064622B">
        <w:rPr>
          <w:rFonts w:cstheme="minorHAnsi"/>
          <w:sz w:val="24"/>
          <w:szCs w:val="24"/>
        </w:rPr>
        <w:t xml:space="preserve">In the policy document, as well as other public speeches, FTC Chair Lina Khan cites legislative history stating </w:t>
      </w:r>
      <w:r w:rsidR="00A37E0D" w:rsidRPr="0064622B">
        <w:rPr>
          <w:rFonts w:cstheme="minorHAnsi"/>
          <w:sz w:val="24"/>
          <w:szCs w:val="24"/>
        </w:rPr>
        <w:t xml:space="preserve">members of </w:t>
      </w:r>
      <w:r w:rsidR="00746354" w:rsidRPr="0064622B">
        <w:rPr>
          <w:rFonts w:cstheme="minorHAnsi"/>
          <w:sz w:val="24"/>
          <w:szCs w:val="24"/>
        </w:rPr>
        <w:t xml:space="preserve">Congress gave </w:t>
      </w:r>
      <w:r w:rsidR="00E32307">
        <w:rPr>
          <w:rFonts w:cstheme="minorHAnsi"/>
          <w:sz w:val="24"/>
          <w:szCs w:val="24"/>
        </w:rPr>
        <w:t>her agency</w:t>
      </w:r>
      <w:r w:rsidR="00746354" w:rsidRPr="0064622B">
        <w:rPr>
          <w:rFonts w:cstheme="minorHAnsi"/>
          <w:sz w:val="24"/>
          <w:szCs w:val="24"/>
        </w:rPr>
        <w:t xml:space="preserve"> the authority to punish “unfair” business practices because they wanted the power to outlaw practices that were not prohibited under the existing Sherman and Clayton Antitrust Acts.</w:t>
      </w:r>
      <w:r w:rsidR="00F87229" w:rsidRPr="0064622B">
        <w:rPr>
          <w:rStyle w:val="FootnoteReference"/>
          <w:rFonts w:cstheme="minorHAnsi"/>
          <w:sz w:val="24"/>
          <w:szCs w:val="24"/>
        </w:rPr>
        <w:footnoteReference w:id="2"/>
      </w:r>
      <w:r w:rsidR="00746354" w:rsidRPr="0064622B">
        <w:rPr>
          <w:rFonts w:cstheme="minorHAnsi"/>
          <w:sz w:val="24"/>
          <w:szCs w:val="24"/>
        </w:rPr>
        <w:t xml:space="preserve"> Specifically, Khan points to concerns expressed by Congress that the judiciary’s use of a “rule of reason” to adjudicate federal antitrust cases would narrow enforcement</w:t>
      </w:r>
      <w:r w:rsidR="009D19D1">
        <w:rPr>
          <w:rFonts w:cstheme="minorHAnsi"/>
          <w:sz w:val="24"/>
          <w:szCs w:val="24"/>
        </w:rPr>
        <w:t>,</w:t>
      </w:r>
      <w:r w:rsidR="002F4E92" w:rsidRPr="0064622B">
        <w:rPr>
          <w:rFonts w:cstheme="minorHAnsi"/>
          <w:sz w:val="24"/>
          <w:szCs w:val="24"/>
        </w:rPr>
        <w:t xml:space="preserve"> </w:t>
      </w:r>
      <w:r w:rsidR="009D19D1">
        <w:rPr>
          <w:rFonts w:cstheme="minorHAnsi"/>
          <w:sz w:val="24"/>
          <w:szCs w:val="24"/>
        </w:rPr>
        <w:t>t</w:t>
      </w:r>
      <w:r w:rsidR="00746354" w:rsidRPr="0064622B">
        <w:rPr>
          <w:rFonts w:cstheme="minorHAnsi"/>
          <w:sz w:val="24"/>
          <w:szCs w:val="24"/>
        </w:rPr>
        <w:t>hus allowing conduct Congress intended to outlaw, but judges and/or federal prosecutors determined was “reasonable.”</w:t>
      </w:r>
      <w:r w:rsidR="002F4E92" w:rsidRPr="0064622B">
        <w:rPr>
          <w:rFonts w:cstheme="minorHAnsi"/>
          <w:sz w:val="24"/>
          <w:szCs w:val="24"/>
        </w:rPr>
        <w:t xml:space="preserve"> </w:t>
      </w:r>
      <w:r w:rsidR="00746354" w:rsidRPr="0064622B">
        <w:rPr>
          <w:rFonts w:cstheme="minorHAnsi"/>
          <w:sz w:val="24"/>
          <w:szCs w:val="24"/>
        </w:rPr>
        <w:t>In contrast, the FTC intended to have broad discretion to police business conduct based on the agency’s determination of whether the conduct at issue was “unfair.”</w:t>
      </w:r>
    </w:p>
    <w:p w14:paraId="207CFE03" w14:textId="49207874" w:rsidR="00101563" w:rsidRDefault="00746354" w:rsidP="004D385A">
      <w:pPr>
        <w:spacing w:line="360" w:lineRule="auto"/>
        <w:rPr>
          <w:rFonts w:cstheme="minorHAnsi"/>
          <w:sz w:val="24"/>
          <w:szCs w:val="24"/>
        </w:rPr>
      </w:pPr>
      <w:r w:rsidRPr="0064622B">
        <w:rPr>
          <w:rFonts w:cstheme="minorHAnsi"/>
          <w:sz w:val="24"/>
          <w:szCs w:val="24"/>
        </w:rPr>
        <w:lastRenderedPageBreak/>
        <w:t>Khan’s arguments were elaborated upon by fellow FTC Commissioner Alvaro Bedoya</w:t>
      </w:r>
      <w:r w:rsidR="00AA15AA">
        <w:rPr>
          <w:rFonts w:cstheme="minorHAnsi"/>
          <w:sz w:val="24"/>
          <w:szCs w:val="24"/>
        </w:rPr>
        <w:t>,</w:t>
      </w:r>
      <w:r w:rsidR="002F4E92" w:rsidRPr="0064622B">
        <w:rPr>
          <w:rFonts w:cstheme="minorHAnsi"/>
          <w:sz w:val="24"/>
          <w:szCs w:val="24"/>
        </w:rPr>
        <w:t xml:space="preserve"> </w:t>
      </w:r>
      <w:r w:rsidR="00AA15AA">
        <w:rPr>
          <w:rFonts w:cstheme="minorHAnsi"/>
          <w:sz w:val="24"/>
          <w:szCs w:val="24"/>
        </w:rPr>
        <w:t>w</w:t>
      </w:r>
      <w:r w:rsidRPr="0064622B">
        <w:rPr>
          <w:rFonts w:cstheme="minorHAnsi"/>
          <w:sz w:val="24"/>
          <w:szCs w:val="24"/>
        </w:rPr>
        <w:t>ho, when speaking before the Midwest Forum on Fair Markets</w:t>
      </w:r>
      <w:r w:rsidR="00DA5525" w:rsidRPr="0064622B">
        <w:rPr>
          <w:rFonts w:cstheme="minorHAnsi"/>
          <w:sz w:val="24"/>
          <w:szCs w:val="24"/>
        </w:rPr>
        <w:t>,</w:t>
      </w:r>
      <w:r w:rsidRPr="0064622B">
        <w:rPr>
          <w:rStyle w:val="FootnoteReference"/>
          <w:rFonts w:cstheme="minorHAnsi"/>
          <w:sz w:val="24"/>
          <w:szCs w:val="24"/>
        </w:rPr>
        <w:footnoteReference w:id="3"/>
      </w:r>
      <w:r w:rsidRPr="0064622B">
        <w:rPr>
          <w:rFonts w:cstheme="minorHAnsi"/>
          <w:sz w:val="24"/>
          <w:szCs w:val="24"/>
        </w:rPr>
        <w:t xml:space="preserve"> said the FTC needed to stop judging business actions by whether they promote “efficiency”</w:t>
      </w:r>
      <w:r w:rsidR="002F4E92" w:rsidRPr="0064622B">
        <w:rPr>
          <w:rFonts w:cstheme="minorHAnsi"/>
          <w:sz w:val="24"/>
          <w:szCs w:val="24"/>
        </w:rPr>
        <w:t xml:space="preserve"> </w:t>
      </w:r>
      <w:r w:rsidR="00101563">
        <w:rPr>
          <w:rFonts w:cstheme="minorHAnsi"/>
          <w:sz w:val="24"/>
          <w:szCs w:val="24"/>
        </w:rPr>
        <w:t>and r</w:t>
      </w:r>
      <w:r w:rsidRPr="0064622B">
        <w:rPr>
          <w:rFonts w:cstheme="minorHAnsi"/>
          <w:sz w:val="24"/>
          <w:szCs w:val="24"/>
        </w:rPr>
        <w:t>ather focus on if the business treated their competitors, workers, and other stakeholders “fairly.</w:t>
      </w:r>
      <w:r w:rsidR="00DA5525" w:rsidRPr="0064622B">
        <w:rPr>
          <w:rFonts w:cstheme="minorHAnsi"/>
          <w:sz w:val="24"/>
          <w:szCs w:val="24"/>
        </w:rPr>
        <w:t>”</w:t>
      </w:r>
      <w:r w:rsidRPr="0064622B">
        <w:rPr>
          <w:rFonts w:cstheme="minorHAnsi"/>
          <w:sz w:val="24"/>
          <w:szCs w:val="24"/>
        </w:rPr>
        <w:t xml:space="preserve"> </w:t>
      </w:r>
    </w:p>
    <w:p w14:paraId="49F0CF22" w14:textId="0024D7F2" w:rsidR="00746354" w:rsidRPr="0064622B" w:rsidRDefault="00746354" w:rsidP="004D385A">
      <w:pPr>
        <w:spacing w:line="360" w:lineRule="auto"/>
        <w:rPr>
          <w:rFonts w:cstheme="minorHAnsi"/>
          <w:sz w:val="24"/>
          <w:szCs w:val="24"/>
        </w:rPr>
      </w:pPr>
      <w:r w:rsidRPr="0064622B">
        <w:rPr>
          <w:rFonts w:cstheme="minorHAnsi"/>
          <w:sz w:val="24"/>
          <w:szCs w:val="24"/>
        </w:rPr>
        <w:t xml:space="preserve">Like Khan, Bedoya claimed such an approach reflected the intent of the Congress that created the FTC. </w:t>
      </w:r>
    </w:p>
    <w:p w14:paraId="364737A0" w14:textId="1C7C20BC" w:rsidR="00746354" w:rsidRPr="0064622B" w:rsidRDefault="00746354" w:rsidP="004D385A">
      <w:pPr>
        <w:spacing w:line="360" w:lineRule="auto"/>
        <w:rPr>
          <w:rFonts w:cstheme="minorHAnsi"/>
          <w:sz w:val="24"/>
          <w:szCs w:val="24"/>
        </w:rPr>
      </w:pPr>
      <w:r w:rsidRPr="0064622B">
        <w:rPr>
          <w:rFonts w:cstheme="minorHAnsi"/>
          <w:sz w:val="24"/>
          <w:szCs w:val="24"/>
        </w:rPr>
        <w:t xml:space="preserve">Khan became a superstar in the progressive policy world </w:t>
      </w:r>
      <w:r w:rsidR="009E53EC">
        <w:rPr>
          <w:rFonts w:cstheme="minorHAnsi"/>
          <w:sz w:val="24"/>
          <w:szCs w:val="24"/>
        </w:rPr>
        <w:t>while</w:t>
      </w:r>
      <w:r w:rsidR="009E53EC" w:rsidRPr="0064622B">
        <w:rPr>
          <w:rFonts w:cstheme="minorHAnsi"/>
          <w:sz w:val="24"/>
          <w:szCs w:val="24"/>
        </w:rPr>
        <w:t xml:space="preserve"> </w:t>
      </w:r>
      <w:r w:rsidRPr="0064622B">
        <w:rPr>
          <w:rFonts w:cstheme="minorHAnsi"/>
          <w:sz w:val="24"/>
          <w:szCs w:val="24"/>
        </w:rPr>
        <w:t xml:space="preserve">in law school due to her article arguing for the enhanced use of antitrust to deal with the </w:t>
      </w:r>
      <w:r w:rsidR="00A54A18">
        <w:rPr>
          <w:rFonts w:cstheme="minorHAnsi"/>
          <w:sz w:val="24"/>
          <w:szCs w:val="24"/>
        </w:rPr>
        <w:t>“</w:t>
      </w:r>
      <w:r w:rsidRPr="0064622B">
        <w:rPr>
          <w:rFonts w:cstheme="minorHAnsi"/>
          <w:sz w:val="24"/>
          <w:szCs w:val="24"/>
        </w:rPr>
        <w:t>threat</w:t>
      </w:r>
      <w:r w:rsidR="00A54A18">
        <w:rPr>
          <w:rFonts w:cstheme="minorHAnsi"/>
          <w:sz w:val="24"/>
          <w:szCs w:val="24"/>
        </w:rPr>
        <w:t>”</w:t>
      </w:r>
      <w:r w:rsidRPr="0064622B">
        <w:rPr>
          <w:rFonts w:cstheme="minorHAnsi"/>
          <w:sz w:val="24"/>
          <w:szCs w:val="24"/>
        </w:rPr>
        <w:t xml:space="preserve"> of Amazon</w:t>
      </w:r>
      <w:r w:rsidR="00DE15DB">
        <w:rPr>
          <w:rFonts w:cstheme="minorHAnsi"/>
          <w:sz w:val="24"/>
          <w:szCs w:val="24"/>
        </w:rPr>
        <w:t>,</w:t>
      </w:r>
      <w:r w:rsidRPr="0064622B">
        <w:rPr>
          <w:rStyle w:val="FootnoteReference"/>
          <w:rFonts w:cstheme="minorHAnsi"/>
          <w:sz w:val="24"/>
          <w:szCs w:val="24"/>
        </w:rPr>
        <w:footnoteReference w:id="4"/>
      </w:r>
      <w:r w:rsidRPr="0064622B">
        <w:rPr>
          <w:rFonts w:cstheme="minorHAnsi"/>
          <w:sz w:val="24"/>
          <w:szCs w:val="24"/>
        </w:rPr>
        <w:t xml:space="preserve"> </w:t>
      </w:r>
      <w:r w:rsidR="00DE15DB">
        <w:rPr>
          <w:rFonts w:cstheme="minorHAnsi"/>
          <w:sz w:val="24"/>
          <w:szCs w:val="24"/>
        </w:rPr>
        <w:t>eventually becoming</w:t>
      </w:r>
      <w:r w:rsidR="004E0EE4" w:rsidRPr="0064622B">
        <w:rPr>
          <w:rFonts w:cstheme="minorHAnsi"/>
          <w:sz w:val="24"/>
          <w:szCs w:val="24"/>
        </w:rPr>
        <w:t xml:space="preserve"> </w:t>
      </w:r>
      <w:r w:rsidRPr="0064622B">
        <w:rPr>
          <w:rFonts w:cstheme="minorHAnsi"/>
          <w:sz w:val="24"/>
          <w:szCs w:val="24"/>
        </w:rPr>
        <w:t>a leader of the neo-</w:t>
      </w:r>
      <w:proofErr w:type="spellStart"/>
      <w:r w:rsidRPr="0064622B">
        <w:rPr>
          <w:rFonts w:cstheme="minorHAnsi"/>
          <w:sz w:val="24"/>
          <w:szCs w:val="24"/>
        </w:rPr>
        <w:t>Brandeisian</w:t>
      </w:r>
      <w:proofErr w:type="spellEnd"/>
      <w:r w:rsidRPr="0064622B">
        <w:rPr>
          <w:rStyle w:val="FootnoteReference"/>
          <w:rFonts w:cstheme="minorHAnsi"/>
          <w:sz w:val="24"/>
          <w:szCs w:val="24"/>
        </w:rPr>
        <w:footnoteReference w:id="5"/>
      </w:r>
      <w:r w:rsidRPr="0064622B">
        <w:rPr>
          <w:rFonts w:cstheme="minorHAnsi"/>
          <w:sz w:val="24"/>
          <w:szCs w:val="24"/>
        </w:rPr>
        <w:t xml:space="preserve"> movement. Named for former Supreme Court Justice Louis Brandeis, who favored using antitrust laws to punish big business for the “crime” of being big</w:t>
      </w:r>
      <w:r w:rsidR="00E479F1">
        <w:rPr>
          <w:rFonts w:cstheme="minorHAnsi"/>
          <w:sz w:val="24"/>
          <w:szCs w:val="24"/>
        </w:rPr>
        <w:t>,</w:t>
      </w:r>
      <w:r w:rsidRPr="0064622B">
        <w:rPr>
          <w:rStyle w:val="FootnoteReference"/>
          <w:rFonts w:cstheme="minorHAnsi"/>
          <w:sz w:val="24"/>
          <w:szCs w:val="24"/>
        </w:rPr>
        <w:footnoteReference w:id="6"/>
      </w:r>
      <w:r w:rsidRPr="0064622B">
        <w:rPr>
          <w:rFonts w:cstheme="minorHAnsi"/>
          <w:sz w:val="24"/>
          <w:szCs w:val="24"/>
        </w:rPr>
        <w:t xml:space="preserve"> the neo-</w:t>
      </w:r>
      <w:proofErr w:type="spellStart"/>
      <w:r w:rsidRPr="0064622B">
        <w:rPr>
          <w:rFonts w:cstheme="minorHAnsi"/>
          <w:sz w:val="24"/>
          <w:szCs w:val="24"/>
        </w:rPr>
        <w:t>Brandeisians</w:t>
      </w:r>
      <w:proofErr w:type="spellEnd"/>
      <w:r w:rsidRPr="0064622B">
        <w:rPr>
          <w:rFonts w:cstheme="minorHAnsi"/>
          <w:sz w:val="24"/>
          <w:szCs w:val="24"/>
        </w:rPr>
        <w:t xml:space="preserve"> favor using antitrust to rein in big business, especially big tech. They also want to use antitrust to advance a variety of </w:t>
      </w:r>
      <w:r w:rsidR="008317EA" w:rsidRPr="0064622B">
        <w:rPr>
          <w:rFonts w:cstheme="minorHAnsi"/>
          <w:sz w:val="24"/>
          <w:szCs w:val="24"/>
        </w:rPr>
        <w:t xml:space="preserve">so-called </w:t>
      </w:r>
      <w:r w:rsidRPr="0064622B">
        <w:rPr>
          <w:rFonts w:cstheme="minorHAnsi"/>
          <w:sz w:val="24"/>
          <w:szCs w:val="24"/>
        </w:rPr>
        <w:t>progressive social goals.</w:t>
      </w:r>
      <w:r w:rsidR="002F4E92" w:rsidRPr="0064622B">
        <w:rPr>
          <w:rFonts w:cstheme="minorHAnsi"/>
          <w:sz w:val="24"/>
          <w:szCs w:val="24"/>
        </w:rPr>
        <w:t xml:space="preserve"> </w:t>
      </w:r>
      <w:r w:rsidRPr="0064622B">
        <w:rPr>
          <w:rFonts w:cstheme="minorHAnsi"/>
          <w:sz w:val="24"/>
          <w:szCs w:val="24"/>
        </w:rPr>
        <w:t>Khan has tasked the agency with taking a “holistic” approach to antitrust that “recognizes harms of anti-competitive behavior beyond those experience</w:t>
      </w:r>
      <w:r w:rsidR="00051C47" w:rsidRPr="0064622B">
        <w:rPr>
          <w:rFonts w:cstheme="minorHAnsi"/>
          <w:sz w:val="24"/>
          <w:szCs w:val="24"/>
        </w:rPr>
        <w:t>d</w:t>
      </w:r>
      <w:r w:rsidRPr="0064622B">
        <w:rPr>
          <w:rFonts w:cstheme="minorHAnsi"/>
          <w:sz w:val="24"/>
          <w:szCs w:val="24"/>
        </w:rPr>
        <w:t xml:space="preserve"> by consumers.”</w:t>
      </w:r>
      <w:r w:rsidRPr="0064622B">
        <w:rPr>
          <w:rStyle w:val="FootnoteReference"/>
          <w:rFonts w:cstheme="minorHAnsi"/>
          <w:sz w:val="24"/>
          <w:szCs w:val="24"/>
        </w:rPr>
        <w:footnoteReference w:id="7"/>
      </w:r>
    </w:p>
    <w:p w14:paraId="7F613A1C" w14:textId="5D3A0F28" w:rsidR="004F3243" w:rsidRPr="0064622B" w:rsidRDefault="00746354" w:rsidP="004D385A">
      <w:pPr>
        <w:spacing w:line="360" w:lineRule="auto"/>
        <w:rPr>
          <w:rFonts w:cstheme="minorHAnsi"/>
          <w:color w:val="202122"/>
          <w:sz w:val="24"/>
          <w:szCs w:val="24"/>
          <w:shd w:val="clear" w:color="auto" w:fill="FFFFFF"/>
        </w:rPr>
      </w:pPr>
      <w:r w:rsidRPr="0064622B">
        <w:rPr>
          <w:rFonts w:cstheme="minorHAnsi"/>
          <w:sz w:val="24"/>
          <w:szCs w:val="24"/>
        </w:rPr>
        <w:t>Khan, Bedoya, and their allies seemingly hope grounding their expansive view of antitrust in an interpretation of the statu</w:t>
      </w:r>
      <w:r w:rsidR="004F3243" w:rsidRPr="0064622B">
        <w:rPr>
          <w:rFonts w:cstheme="minorHAnsi"/>
          <w:sz w:val="24"/>
          <w:szCs w:val="24"/>
        </w:rPr>
        <w:t>t</w:t>
      </w:r>
      <w:r w:rsidRPr="0064622B">
        <w:rPr>
          <w:rFonts w:cstheme="minorHAnsi"/>
          <w:sz w:val="24"/>
          <w:szCs w:val="24"/>
        </w:rPr>
        <w:t xml:space="preserve">e creating the FTC will insulate their expansion of antitrust from being struck down in Court for exceeding the agency’s </w:t>
      </w:r>
      <w:r w:rsidR="00912E8A">
        <w:rPr>
          <w:rFonts w:cstheme="minorHAnsi"/>
          <w:sz w:val="24"/>
          <w:szCs w:val="24"/>
        </w:rPr>
        <w:t>c</w:t>
      </w:r>
      <w:r w:rsidRPr="0064622B">
        <w:rPr>
          <w:rFonts w:cstheme="minorHAnsi"/>
          <w:sz w:val="24"/>
          <w:szCs w:val="24"/>
        </w:rPr>
        <w:t xml:space="preserve">ongressionally granted authority. This is a very valid concern since </w:t>
      </w:r>
      <w:r w:rsidR="004F3243" w:rsidRPr="0064622B">
        <w:rPr>
          <w:rFonts w:cstheme="minorHAnsi"/>
          <w:sz w:val="24"/>
          <w:szCs w:val="24"/>
        </w:rPr>
        <w:t>recently</w:t>
      </w:r>
      <w:r w:rsidRPr="0064622B">
        <w:rPr>
          <w:rFonts w:cstheme="minorHAnsi"/>
          <w:sz w:val="24"/>
          <w:szCs w:val="24"/>
        </w:rPr>
        <w:t xml:space="preserve"> the Supreme Court </w:t>
      </w:r>
      <w:r w:rsidR="004F3243" w:rsidRPr="0064622B">
        <w:rPr>
          <w:rFonts w:cstheme="minorHAnsi"/>
          <w:color w:val="202122"/>
          <w:sz w:val="24"/>
          <w:szCs w:val="24"/>
          <w:shd w:val="clear" w:color="auto" w:fill="FFFFFF"/>
        </w:rPr>
        <w:t xml:space="preserve">ruled that, under Khan’s leadership, the agency exceeded the congressionally imposed limits of </w:t>
      </w:r>
      <w:r w:rsidR="0050096B" w:rsidRPr="0064622B">
        <w:rPr>
          <w:rFonts w:cstheme="minorHAnsi"/>
          <w:color w:val="202122"/>
          <w:sz w:val="24"/>
          <w:szCs w:val="24"/>
          <w:shd w:val="clear" w:color="auto" w:fill="FFFFFF"/>
        </w:rPr>
        <w:t>its</w:t>
      </w:r>
      <w:r w:rsidR="004F3243" w:rsidRPr="0064622B">
        <w:rPr>
          <w:rFonts w:cstheme="minorHAnsi"/>
          <w:color w:val="202122"/>
          <w:sz w:val="24"/>
          <w:szCs w:val="24"/>
          <w:shd w:val="clear" w:color="auto" w:fill="FFFFFF"/>
        </w:rPr>
        <w:t xml:space="preserve"> power.</w:t>
      </w:r>
      <w:r w:rsidR="002F4E92" w:rsidRPr="0064622B">
        <w:rPr>
          <w:rFonts w:cstheme="minorHAnsi"/>
          <w:color w:val="202122"/>
          <w:sz w:val="24"/>
          <w:szCs w:val="24"/>
          <w:shd w:val="clear" w:color="auto" w:fill="FFFFFF"/>
        </w:rPr>
        <w:t xml:space="preserve"> </w:t>
      </w:r>
      <w:r w:rsidR="004F3243" w:rsidRPr="0064622B">
        <w:rPr>
          <w:rFonts w:cstheme="minorHAnsi"/>
          <w:color w:val="202122"/>
          <w:sz w:val="24"/>
          <w:szCs w:val="24"/>
          <w:shd w:val="clear" w:color="auto" w:fill="FFFFFF"/>
        </w:rPr>
        <w:t xml:space="preserve">This occurred in the case of </w:t>
      </w:r>
      <w:r w:rsidR="004F3243" w:rsidRPr="0064622B">
        <w:rPr>
          <w:rFonts w:cstheme="minorHAnsi"/>
          <w:b/>
          <w:bCs/>
          <w:i/>
          <w:iCs/>
          <w:color w:val="202122"/>
          <w:sz w:val="24"/>
          <w:szCs w:val="24"/>
          <w:shd w:val="clear" w:color="auto" w:fill="FFFFFF"/>
        </w:rPr>
        <w:t>AMG Capital Management, LLC v. FTC</w:t>
      </w:r>
      <w:r w:rsidR="004F3243" w:rsidRPr="0064622B">
        <w:rPr>
          <w:rFonts w:cstheme="minorHAnsi"/>
          <w:color w:val="202122"/>
          <w:sz w:val="24"/>
          <w:szCs w:val="24"/>
          <w:shd w:val="clear" w:color="auto" w:fill="FFFFFF"/>
        </w:rPr>
        <w:t>, 593 U.S. ___ (2021)</w:t>
      </w:r>
      <w:r w:rsidR="00A53683" w:rsidRPr="0064622B">
        <w:rPr>
          <w:rFonts w:cstheme="minorHAnsi"/>
          <w:color w:val="202122"/>
          <w:sz w:val="24"/>
          <w:szCs w:val="24"/>
          <w:shd w:val="clear" w:color="auto" w:fill="FFFFFF"/>
        </w:rPr>
        <w:t>.</w:t>
      </w:r>
      <w:r w:rsidR="004F3243" w:rsidRPr="0064622B">
        <w:rPr>
          <w:rStyle w:val="FootnoteReference"/>
          <w:rFonts w:cstheme="minorHAnsi"/>
          <w:color w:val="202122"/>
          <w:sz w:val="24"/>
          <w:szCs w:val="24"/>
          <w:shd w:val="clear" w:color="auto" w:fill="FFFFFF"/>
        </w:rPr>
        <w:footnoteReference w:id="8"/>
      </w:r>
      <w:r w:rsidR="004F3243" w:rsidRPr="0064622B">
        <w:rPr>
          <w:rFonts w:cstheme="minorHAnsi"/>
          <w:color w:val="202122"/>
          <w:sz w:val="24"/>
          <w:szCs w:val="24"/>
          <w:shd w:val="clear" w:color="auto" w:fill="FFFFFF"/>
        </w:rPr>
        <w:t xml:space="preserve"> The Court ruled that the agency </w:t>
      </w:r>
      <w:r w:rsidR="004F3243" w:rsidRPr="0064622B">
        <w:rPr>
          <w:rFonts w:cstheme="minorHAnsi"/>
          <w:color w:val="202122"/>
          <w:sz w:val="24"/>
          <w:szCs w:val="24"/>
          <w:shd w:val="clear" w:color="auto" w:fill="FFFFFF"/>
        </w:rPr>
        <w:lastRenderedPageBreak/>
        <w:t xml:space="preserve">exceeded </w:t>
      </w:r>
      <w:r w:rsidR="0050096B" w:rsidRPr="0064622B">
        <w:rPr>
          <w:rFonts w:cstheme="minorHAnsi"/>
          <w:color w:val="202122"/>
          <w:sz w:val="24"/>
          <w:szCs w:val="24"/>
          <w:shd w:val="clear" w:color="auto" w:fill="FFFFFF"/>
        </w:rPr>
        <w:t>its</w:t>
      </w:r>
      <w:r w:rsidR="004F3243" w:rsidRPr="0064622B">
        <w:rPr>
          <w:rFonts w:cstheme="minorHAnsi"/>
          <w:color w:val="202122"/>
          <w:sz w:val="24"/>
          <w:szCs w:val="24"/>
          <w:shd w:val="clear" w:color="auto" w:fill="FFFFFF"/>
        </w:rPr>
        <w:t xml:space="preserve"> authority under Section 13 (b) of the Federal Trade Commission Act when it sought monetary restitution for consumers allegedly defrauded by AMG. </w:t>
      </w:r>
    </w:p>
    <w:p w14:paraId="652DBAA8" w14:textId="55F35ABE" w:rsidR="00746354" w:rsidRPr="0064622B" w:rsidRDefault="004F3243" w:rsidP="004D385A">
      <w:pPr>
        <w:spacing w:line="360" w:lineRule="auto"/>
        <w:rPr>
          <w:rFonts w:cstheme="minorHAnsi"/>
          <w:sz w:val="24"/>
          <w:szCs w:val="24"/>
        </w:rPr>
      </w:pPr>
      <w:r w:rsidRPr="0064622B">
        <w:rPr>
          <w:rFonts w:cstheme="minorHAnsi"/>
          <w:color w:val="202122"/>
          <w:sz w:val="24"/>
          <w:szCs w:val="24"/>
          <w:shd w:val="clear" w:color="auto" w:fill="FFFFFF"/>
        </w:rPr>
        <w:t xml:space="preserve">Additionally, outside of the FTC, the Supreme Court has also moved to limit government agencies from broad interpretations of their authority. </w:t>
      </w:r>
      <w:r w:rsidRPr="0064622B">
        <w:rPr>
          <w:rFonts w:cstheme="minorHAnsi"/>
          <w:sz w:val="24"/>
          <w:szCs w:val="24"/>
        </w:rPr>
        <w:t xml:space="preserve">Last year the Supreme Court ruled against </w:t>
      </w:r>
      <w:r w:rsidR="00746354" w:rsidRPr="0064622B">
        <w:rPr>
          <w:rFonts w:cstheme="minorHAnsi"/>
          <w:sz w:val="24"/>
          <w:szCs w:val="24"/>
        </w:rPr>
        <w:t xml:space="preserve">the Environmental Protection Agency’s “climate change” regulation in the case of </w:t>
      </w:r>
      <w:r w:rsidR="00746354" w:rsidRPr="0064622B">
        <w:rPr>
          <w:rFonts w:cstheme="minorHAnsi"/>
          <w:b/>
          <w:bCs/>
          <w:i/>
          <w:iCs/>
          <w:color w:val="202122"/>
          <w:sz w:val="24"/>
          <w:szCs w:val="24"/>
          <w:shd w:val="clear" w:color="auto" w:fill="FFFFFF"/>
        </w:rPr>
        <w:t>West Virginia v. Environmental Protection Agency</w:t>
      </w:r>
      <w:r w:rsidR="00746354" w:rsidRPr="0064622B">
        <w:rPr>
          <w:rFonts w:cstheme="minorHAnsi"/>
          <w:color w:val="202122"/>
          <w:sz w:val="24"/>
          <w:szCs w:val="24"/>
          <w:shd w:val="clear" w:color="auto" w:fill="FFFFFF"/>
        </w:rPr>
        <w:t>, 597 U.S. ___ (2022) on the grounds that Congress did not give the EPA authority to address climate change. Some have suggested this precedent puts the FTC expansion in the crosshairs.</w:t>
      </w:r>
      <w:r w:rsidR="00746354" w:rsidRPr="0064622B">
        <w:rPr>
          <w:rStyle w:val="FootnoteReference"/>
          <w:rFonts w:cstheme="minorHAnsi"/>
          <w:color w:val="202122"/>
          <w:sz w:val="24"/>
          <w:szCs w:val="24"/>
          <w:shd w:val="clear" w:color="auto" w:fill="FFFFFF"/>
        </w:rPr>
        <w:footnoteReference w:id="9"/>
      </w:r>
      <w:r w:rsidR="00746354" w:rsidRPr="0064622B">
        <w:rPr>
          <w:rFonts w:cstheme="minorHAnsi"/>
          <w:color w:val="202122"/>
          <w:sz w:val="24"/>
          <w:szCs w:val="24"/>
          <w:shd w:val="clear" w:color="auto" w:fill="FFFFFF"/>
        </w:rPr>
        <w:t xml:space="preserve"> However, it is not out of the realm of possibility that the Supreme Court’s conservative majority would uphold the agency’s new policy.</w:t>
      </w:r>
      <w:r w:rsidR="002F4E92" w:rsidRPr="0064622B">
        <w:rPr>
          <w:rFonts w:cstheme="minorHAnsi"/>
          <w:color w:val="202122"/>
          <w:sz w:val="24"/>
          <w:szCs w:val="24"/>
          <w:shd w:val="clear" w:color="auto" w:fill="FFFFFF"/>
        </w:rPr>
        <w:t xml:space="preserve"> </w:t>
      </w:r>
      <w:r w:rsidR="00746354" w:rsidRPr="0064622B">
        <w:rPr>
          <w:rFonts w:cstheme="minorHAnsi"/>
          <w:color w:val="202122"/>
          <w:sz w:val="24"/>
          <w:szCs w:val="24"/>
          <w:shd w:val="clear" w:color="auto" w:fill="FFFFFF"/>
        </w:rPr>
        <w:t>Not because they agree with it, but because Congress gave the agency authority to define what constitutes “fair” practices. Therefore, it is the job of Congress</w:t>
      </w:r>
      <w:r w:rsidR="006F4B70" w:rsidRPr="0064622B">
        <w:rPr>
          <w:rFonts w:cstheme="minorHAnsi"/>
          <w:sz w:val="24"/>
          <w:szCs w:val="24"/>
        </w:rPr>
        <w:t>—</w:t>
      </w:r>
      <w:r w:rsidR="00746354" w:rsidRPr="0064622B">
        <w:rPr>
          <w:rFonts w:cstheme="minorHAnsi"/>
          <w:color w:val="202122"/>
          <w:sz w:val="24"/>
          <w:szCs w:val="24"/>
          <w:shd w:val="clear" w:color="auto" w:fill="FFFFFF"/>
        </w:rPr>
        <w:t>not the courts</w:t>
      </w:r>
      <w:r w:rsidR="006F4B70" w:rsidRPr="0064622B">
        <w:rPr>
          <w:rFonts w:cstheme="minorHAnsi"/>
          <w:sz w:val="24"/>
          <w:szCs w:val="24"/>
        </w:rPr>
        <w:t>—</w:t>
      </w:r>
      <w:r w:rsidR="00746354" w:rsidRPr="0064622B">
        <w:rPr>
          <w:rFonts w:cstheme="minorHAnsi"/>
          <w:color w:val="202122"/>
          <w:sz w:val="24"/>
          <w:szCs w:val="24"/>
          <w:shd w:val="clear" w:color="auto" w:fill="FFFFFF"/>
        </w:rPr>
        <w:t xml:space="preserve">to set limits on how the FTC can use </w:t>
      </w:r>
      <w:r w:rsidR="0050096B" w:rsidRPr="0064622B">
        <w:rPr>
          <w:rFonts w:cstheme="minorHAnsi"/>
          <w:color w:val="202122"/>
          <w:sz w:val="24"/>
          <w:szCs w:val="24"/>
          <w:shd w:val="clear" w:color="auto" w:fill="FFFFFF"/>
        </w:rPr>
        <w:t>its</w:t>
      </w:r>
      <w:r w:rsidR="00746354" w:rsidRPr="0064622B">
        <w:rPr>
          <w:rFonts w:cstheme="minorHAnsi"/>
          <w:color w:val="202122"/>
          <w:sz w:val="24"/>
          <w:szCs w:val="24"/>
          <w:shd w:val="clear" w:color="auto" w:fill="FFFFFF"/>
        </w:rPr>
        <w:t xml:space="preserve"> mandate to stop unfair business practices.</w:t>
      </w:r>
    </w:p>
    <w:p w14:paraId="19574F71" w14:textId="0971806E" w:rsidR="00746354" w:rsidRPr="0064622B" w:rsidRDefault="00C31A8D" w:rsidP="004D385A">
      <w:pPr>
        <w:spacing w:line="360" w:lineRule="auto"/>
        <w:rPr>
          <w:rFonts w:cstheme="minorHAnsi"/>
          <w:color w:val="202122"/>
          <w:sz w:val="24"/>
          <w:szCs w:val="24"/>
          <w:shd w:val="clear" w:color="auto" w:fill="FFFFFF"/>
        </w:rPr>
      </w:pPr>
      <w:r>
        <w:rPr>
          <w:rFonts w:cstheme="minorHAnsi"/>
          <w:color w:val="202122"/>
          <w:sz w:val="24"/>
          <w:szCs w:val="24"/>
          <w:shd w:val="clear" w:color="auto" w:fill="FFFFFF"/>
        </w:rPr>
        <w:t>The</w:t>
      </w:r>
      <w:r w:rsidR="004F3243" w:rsidRPr="0064622B">
        <w:rPr>
          <w:rFonts w:cstheme="minorHAnsi"/>
          <w:color w:val="202122"/>
          <w:sz w:val="24"/>
          <w:szCs w:val="24"/>
          <w:shd w:val="clear" w:color="auto" w:fill="FFFFFF"/>
        </w:rPr>
        <w:t xml:space="preserve"> Supreme Court’s rulings in these cases received a warm welcome from </w:t>
      </w:r>
      <w:r w:rsidR="00746354" w:rsidRPr="0064622B">
        <w:rPr>
          <w:rFonts w:cstheme="minorHAnsi"/>
          <w:color w:val="202122"/>
          <w:sz w:val="24"/>
          <w:szCs w:val="24"/>
          <w:shd w:val="clear" w:color="auto" w:fill="FFFFFF"/>
        </w:rPr>
        <w:t>advocates of a more restrained approach to antitrust policy.</w:t>
      </w:r>
      <w:r w:rsidR="004F3243" w:rsidRPr="0064622B">
        <w:rPr>
          <w:rFonts w:cstheme="minorHAnsi"/>
          <w:color w:val="202122"/>
          <w:sz w:val="24"/>
          <w:szCs w:val="24"/>
          <w:shd w:val="clear" w:color="auto" w:fill="FFFFFF"/>
        </w:rPr>
        <w:t xml:space="preserve"> </w:t>
      </w:r>
      <w:r>
        <w:rPr>
          <w:rFonts w:cstheme="minorHAnsi"/>
          <w:color w:val="202122"/>
          <w:sz w:val="24"/>
          <w:szCs w:val="24"/>
          <w:shd w:val="clear" w:color="auto" w:fill="FFFFFF"/>
        </w:rPr>
        <w:t>Yet i</w:t>
      </w:r>
      <w:r w:rsidR="004F3243" w:rsidRPr="0064622B">
        <w:rPr>
          <w:rFonts w:cstheme="minorHAnsi"/>
          <w:color w:val="202122"/>
          <w:sz w:val="24"/>
          <w:szCs w:val="24"/>
          <w:shd w:val="clear" w:color="auto" w:fill="FFFFFF"/>
        </w:rPr>
        <w:t>t is also a possibility that t</w:t>
      </w:r>
      <w:r w:rsidR="00746354" w:rsidRPr="0064622B">
        <w:rPr>
          <w:rFonts w:cstheme="minorHAnsi"/>
          <w:color w:val="202122"/>
          <w:sz w:val="24"/>
          <w:szCs w:val="24"/>
          <w:shd w:val="clear" w:color="auto" w:fill="FFFFFF"/>
        </w:rPr>
        <w:t xml:space="preserve">he FTC’s </w:t>
      </w:r>
      <w:r w:rsidR="004F3243" w:rsidRPr="0064622B">
        <w:rPr>
          <w:rFonts w:cstheme="minorHAnsi"/>
          <w:color w:val="202122"/>
          <w:sz w:val="24"/>
          <w:szCs w:val="24"/>
          <w:shd w:val="clear" w:color="auto" w:fill="FFFFFF"/>
        </w:rPr>
        <w:t>leadership push for, and recent advocacy in support</w:t>
      </w:r>
      <w:r w:rsidR="00746354" w:rsidRPr="0064622B">
        <w:rPr>
          <w:rFonts w:cstheme="minorHAnsi"/>
          <w:color w:val="202122"/>
          <w:sz w:val="24"/>
          <w:szCs w:val="24"/>
          <w:shd w:val="clear" w:color="auto" w:fill="FFFFFF"/>
        </w:rPr>
        <w:t xml:space="preserve"> </w:t>
      </w:r>
      <w:r w:rsidR="004F3243" w:rsidRPr="0064622B">
        <w:rPr>
          <w:rFonts w:cstheme="minorHAnsi"/>
          <w:color w:val="202122"/>
          <w:sz w:val="24"/>
          <w:szCs w:val="24"/>
          <w:shd w:val="clear" w:color="auto" w:fill="FFFFFF"/>
        </w:rPr>
        <w:t xml:space="preserve">of, </w:t>
      </w:r>
      <w:r w:rsidR="00746354" w:rsidRPr="0064622B">
        <w:rPr>
          <w:rFonts w:cstheme="minorHAnsi"/>
          <w:color w:val="202122"/>
          <w:sz w:val="24"/>
          <w:szCs w:val="24"/>
          <w:shd w:val="clear" w:color="auto" w:fill="FFFFFF"/>
        </w:rPr>
        <w:t xml:space="preserve">“fairness” can also be used to justify an approach to antitrust laws that not only limits the damage Lina </w:t>
      </w:r>
      <w:proofErr w:type="gramStart"/>
      <w:r w:rsidR="00746354" w:rsidRPr="0064622B">
        <w:rPr>
          <w:rFonts w:cstheme="minorHAnsi"/>
          <w:color w:val="202122"/>
          <w:sz w:val="24"/>
          <w:szCs w:val="24"/>
          <w:shd w:val="clear" w:color="auto" w:fill="FFFFFF"/>
        </w:rPr>
        <w:t>Khan</w:t>
      </w:r>
      <w:proofErr w:type="gramEnd"/>
      <w:r w:rsidR="00746354" w:rsidRPr="0064622B">
        <w:rPr>
          <w:rFonts w:cstheme="minorHAnsi"/>
          <w:color w:val="202122"/>
          <w:sz w:val="24"/>
          <w:szCs w:val="24"/>
          <w:shd w:val="clear" w:color="auto" w:fill="FFFFFF"/>
        </w:rPr>
        <w:t xml:space="preserve"> and her allies can do to our already fragile economy</w:t>
      </w:r>
      <w:r w:rsidR="003E08AB" w:rsidRPr="0064622B">
        <w:rPr>
          <w:rFonts w:cstheme="minorHAnsi"/>
          <w:color w:val="202122"/>
          <w:sz w:val="24"/>
          <w:szCs w:val="24"/>
          <w:shd w:val="clear" w:color="auto" w:fill="FFFFFF"/>
        </w:rPr>
        <w:t>,</w:t>
      </w:r>
      <w:r w:rsidR="00746354" w:rsidRPr="0064622B">
        <w:rPr>
          <w:rFonts w:cstheme="minorHAnsi"/>
          <w:color w:val="202122"/>
          <w:sz w:val="24"/>
          <w:szCs w:val="24"/>
          <w:shd w:val="clear" w:color="auto" w:fill="FFFFFF"/>
        </w:rPr>
        <w:t xml:space="preserve"> but actually enhance </w:t>
      </w:r>
      <w:r w:rsidR="003E08AB" w:rsidRPr="0064622B">
        <w:rPr>
          <w:rFonts w:cstheme="minorHAnsi"/>
          <w:color w:val="202122"/>
          <w:sz w:val="24"/>
          <w:szCs w:val="24"/>
          <w:shd w:val="clear" w:color="auto" w:fill="FFFFFF"/>
        </w:rPr>
        <w:t>prosperity</w:t>
      </w:r>
      <w:r w:rsidR="00746354" w:rsidRPr="0064622B">
        <w:rPr>
          <w:rFonts w:cstheme="minorHAnsi"/>
          <w:color w:val="202122"/>
          <w:sz w:val="24"/>
          <w:szCs w:val="24"/>
          <w:shd w:val="clear" w:color="auto" w:fill="FFFFFF"/>
        </w:rPr>
        <w:t>.</w:t>
      </w:r>
      <w:r w:rsidR="002F4E92" w:rsidRPr="0064622B">
        <w:rPr>
          <w:rFonts w:cstheme="minorHAnsi"/>
          <w:color w:val="202122"/>
          <w:sz w:val="24"/>
          <w:szCs w:val="24"/>
          <w:shd w:val="clear" w:color="auto" w:fill="FFFFFF"/>
        </w:rPr>
        <w:t xml:space="preserve"> </w:t>
      </w:r>
      <w:r w:rsidR="00746354" w:rsidRPr="0064622B">
        <w:rPr>
          <w:rFonts w:cstheme="minorHAnsi"/>
          <w:color w:val="202122"/>
          <w:sz w:val="24"/>
          <w:szCs w:val="24"/>
          <w:shd w:val="clear" w:color="auto" w:fill="FFFFFF"/>
        </w:rPr>
        <w:t>This will be contingent upon how one defines fairness.</w:t>
      </w:r>
      <w:r w:rsidR="002F4E92" w:rsidRPr="0064622B">
        <w:rPr>
          <w:rFonts w:cstheme="minorHAnsi"/>
          <w:color w:val="202122"/>
          <w:sz w:val="24"/>
          <w:szCs w:val="24"/>
          <w:shd w:val="clear" w:color="auto" w:fill="FFFFFF"/>
        </w:rPr>
        <w:t xml:space="preserve"> </w:t>
      </w:r>
      <w:r w:rsidR="001D4CD5">
        <w:rPr>
          <w:rFonts w:cstheme="minorHAnsi"/>
          <w:color w:val="202122"/>
          <w:sz w:val="24"/>
          <w:szCs w:val="24"/>
          <w:shd w:val="clear" w:color="auto" w:fill="FFFFFF"/>
        </w:rPr>
        <w:t>For instance, t</w:t>
      </w:r>
      <w:r w:rsidR="00746354" w:rsidRPr="0064622B">
        <w:rPr>
          <w:rFonts w:cstheme="minorHAnsi"/>
          <w:color w:val="202122"/>
          <w:sz w:val="24"/>
          <w:szCs w:val="24"/>
          <w:shd w:val="clear" w:color="auto" w:fill="FFFFFF"/>
        </w:rPr>
        <w:t xml:space="preserve">here </w:t>
      </w:r>
      <w:r w:rsidR="001D4CD5">
        <w:rPr>
          <w:rFonts w:cstheme="minorHAnsi"/>
          <w:color w:val="202122"/>
          <w:sz w:val="24"/>
          <w:szCs w:val="24"/>
          <w:shd w:val="clear" w:color="auto" w:fill="FFFFFF"/>
        </w:rPr>
        <w:t xml:space="preserve">already </w:t>
      </w:r>
      <w:r w:rsidR="00746354" w:rsidRPr="0064622B">
        <w:rPr>
          <w:rFonts w:cstheme="minorHAnsi"/>
          <w:color w:val="202122"/>
          <w:sz w:val="24"/>
          <w:szCs w:val="24"/>
          <w:shd w:val="clear" w:color="auto" w:fill="FFFFFF"/>
        </w:rPr>
        <w:t>is</w:t>
      </w:r>
      <w:r w:rsidR="001D4CD5">
        <w:rPr>
          <w:rFonts w:cstheme="minorHAnsi"/>
          <w:color w:val="202122"/>
          <w:sz w:val="24"/>
          <w:szCs w:val="24"/>
          <w:shd w:val="clear" w:color="auto" w:fill="FFFFFF"/>
        </w:rPr>
        <w:t xml:space="preserve"> </w:t>
      </w:r>
      <w:r w:rsidR="00746354" w:rsidRPr="0064622B">
        <w:rPr>
          <w:rFonts w:cstheme="minorHAnsi"/>
          <w:color w:val="202122"/>
          <w:sz w:val="24"/>
          <w:szCs w:val="24"/>
          <w:shd w:val="clear" w:color="auto" w:fill="FFFFFF"/>
        </w:rPr>
        <w:t>a superior alternative to the neo-Brandeisian approach to antitrust: the consumer welfare standard.</w:t>
      </w:r>
    </w:p>
    <w:p w14:paraId="458F577A" w14:textId="527F6926" w:rsidR="00746354" w:rsidRPr="0064622B" w:rsidRDefault="00746354" w:rsidP="004D385A">
      <w:pPr>
        <w:spacing w:line="360" w:lineRule="auto"/>
        <w:rPr>
          <w:rFonts w:cstheme="minorHAnsi"/>
          <w:b/>
          <w:bCs/>
          <w:color w:val="202122"/>
          <w:sz w:val="24"/>
          <w:szCs w:val="24"/>
          <w:shd w:val="clear" w:color="auto" w:fill="FFFFFF"/>
        </w:rPr>
      </w:pPr>
      <w:r w:rsidRPr="0064622B">
        <w:rPr>
          <w:rFonts w:cstheme="minorHAnsi"/>
          <w:b/>
          <w:bCs/>
          <w:color w:val="202122"/>
          <w:sz w:val="24"/>
          <w:szCs w:val="24"/>
          <w:shd w:val="clear" w:color="auto" w:fill="FFFFFF"/>
        </w:rPr>
        <w:t xml:space="preserve"> II. </w:t>
      </w:r>
      <w:r w:rsidR="00B2122B" w:rsidRPr="0064622B">
        <w:rPr>
          <w:rFonts w:cstheme="minorHAnsi"/>
          <w:b/>
          <w:bCs/>
          <w:color w:val="202122"/>
          <w:sz w:val="24"/>
          <w:szCs w:val="24"/>
          <w:shd w:val="clear" w:color="auto" w:fill="FFFFFF"/>
        </w:rPr>
        <w:tab/>
      </w:r>
      <w:r w:rsidRPr="0064622B">
        <w:rPr>
          <w:rFonts w:cstheme="minorHAnsi"/>
          <w:b/>
          <w:bCs/>
          <w:color w:val="202122"/>
          <w:sz w:val="24"/>
          <w:szCs w:val="24"/>
          <w:shd w:val="clear" w:color="auto" w:fill="FFFFFF"/>
        </w:rPr>
        <w:t xml:space="preserve">Consumer Welfare Standard </w:t>
      </w:r>
    </w:p>
    <w:p w14:paraId="271BAA5B" w14:textId="2B4DA431" w:rsidR="00746354" w:rsidRPr="0064622B" w:rsidRDefault="00746354" w:rsidP="004D385A">
      <w:pPr>
        <w:spacing w:line="360" w:lineRule="auto"/>
        <w:rPr>
          <w:rFonts w:cstheme="minorHAnsi"/>
          <w:sz w:val="24"/>
          <w:szCs w:val="24"/>
        </w:rPr>
      </w:pPr>
      <w:r w:rsidRPr="0064622B">
        <w:rPr>
          <w:rFonts w:cstheme="minorHAnsi"/>
          <w:sz w:val="24"/>
          <w:szCs w:val="24"/>
        </w:rPr>
        <w:t xml:space="preserve">The FTC’s policy guidance does not explicitly mention the consumer welfare standard. However, displacing the consumer welfare standard that has dominated antitrust enforcement since at least the </w:t>
      </w:r>
      <w:r w:rsidR="00B06AD5" w:rsidRPr="0064622B">
        <w:rPr>
          <w:rFonts w:cstheme="minorHAnsi"/>
          <w:sz w:val="24"/>
          <w:szCs w:val="24"/>
        </w:rPr>
        <w:t>19</w:t>
      </w:r>
      <w:r w:rsidRPr="0064622B">
        <w:rPr>
          <w:rFonts w:cstheme="minorHAnsi"/>
          <w:sz w:val="24"/>
          <w:szCs w:val="24"/>
        </w:rPr>
        <w:t>80s</w:t>
      </w:r>
      <w:r w:rsidR="00B60EB5" w:rsidRPr="0064622B">
        <w:rPr>
          <w:rFonts w:cstheme="minorHAnsi"/>
          <w:sz w:val="24"/>
          <w:szCs w:val="24"/>
        </w:rPr>
        <w:t xml:space="preserve"> </w:t>
      </w:r>
      <w:r w:rsidRPr="0064622B">
        <w:rPr>
          <w:rFonts w:cstheme="minorHAnsi"/>
          <w:sz w:val="24"/>
          <w:szCs w:val="24"/>
        </w:rPr>
        <w:t>is the linchpin of the neo-</w:t>
      </w:r>
      <w:proofErr w:type="spellStart"/>
      <w:r w:rsidRPr="0064622B">
        <w:rPr>
          <w:rFonts w:cstheme="minorHAnsi"/>
          <w:sz w:val="24"/>
          <w:szCs w:val="24"/>
        </w:rPr>
        <w:t>Brandeisian</w:t>
      </w:r>
      <w:proofErr w:type="spellEnd"/>
      <w:r w:rsidRPr="0064622B">
        <w:rPr>
          <w:rFonts w:cstheme="minorHAnsi"/>
          <w:sz w:val="24"/>
          <w:szCs w:val="24"/>
        </w:rPr>
        <w:t xml:space="preserve"> agenda.</w:t>
      </w:r>
      <w:r w:rsidR="00B60EB5" w:rsidRPr="0064622B">
        <w:rPr>
          <w:rStyle w:val="FootnoteReference"/>
          <w:rFonts w:cstheme="minorHAnsi"/>
          <w:sz w:val="24"/>
          <w:szCs w:val="24"/>
        </w:rPr>
        <w:footnoteReference w:id="10"/>
      </w:r>
      <w:r w:rsidRPr="0064622B">
        <w:rPr>
          <w:rFonts w:cstheme="minorHAnsi"/>
          <w:sz w:val="24"/>
          <w:szCs w:val="24"/>
        </w:rPr>
        <w:t xml:space="preserve"> </w:t>
      </w:r>
    </w:p>
    <w:p w14:paraId="6B632006" w14:textId="5358D310" w:rsidR="00746354" w:rsidRPr="0064622B" w:rsidRDefault="00746354" w:rsidP="004D385A">
      <w:pPr>
        <w:spacing w:line="360" w:lineRule="auto"/>
        <w:rPr>
          <w:rFonts w:cstheme="minorHAnsi"/>
          <w:sz w:val="24"/>
          <w:szCs w:val="24"/>
        </w:rPr>
      </w:pPr>
      <w:r w:rsidRPr="0064622B">
        <w:rPr>
          <w:rFonts w:cstheme="minorHAnsi"/>
          <w:sz w:val="24"/>
          <w:szCs w:val="24"/>
        </w:rPr>
        <w:lastRenderedPageBreak/>
        <w:t xml:space="preserve">As the name suggests, the consumer welfare standard posits that regulators should judge business’s actions by how </w:t>
      </w:r>
      <w:r w:rsidR="002B312C" w:rsidRPr="0064622B">
        <w:rPr>
          <w:rFonts w:cstheme="minorHAnsi"/>
          <w:sz w:val="24"/>
          <w:szCs w:val="24"/>
        </w:rPr>
        <w:t xml:space="preserve">they </w:t>
      </w:r>
      <w:r w:rsidRPr="0064622B">
        <w:rPr>
          <w:rFonts w:cstheme="minorHAnsi"/>
          <w:sz w:val="24"/>
          <w:szCs w:val="24"/>
        </w:rPr>
        <w:t>impact consumers</w:t>
      </w:r>
      <w:r w:rsidR="007864CE">
        <w:rPr>
          <w:rFonts w:cstheme="minorHAnsi"/>
          <w:sz w:val="24"/>
          <w:szCs w:val="24"/>
        </w:rPr>
        <w:t>,</w:t>
      </w:r>
      <w:r w:rsidR="002F4E92" w:rsidRPr="0064622B">
        <w:rPr>
          <w:rFonts w:cstheme="minorHAnsi"/>
          <w:sz w:val="24"/>
          <w:szCs w:val="24"/>
        </w:rPr>
        <w:t xml:space="preserve"> </w:t>
      </w:r>
      <w:r w:rsidR="007864CE">
        <w:rPr>
          <w:rFonts w:cstheme="minorHAnsi"/>
          <w:sz w:val="24"/>
          <w:szCs w:val="24"/>
        </w:rPr>
        <w:t>n</w:t>
      </w:r>
      <w:r w:rsidRPr="0064622B">
        <w:rPr>
          <w:rFonts w:cstheme="minorHAnsi"/>
          <w:sz w:val="24"/>
          <w:szCs w:val="24"/>
        </w:rPr>
        <w:t>ot by an abstract and subjective idea of “perfect competition” or “fairness” to competitors. As Judge Robert Bork, the leading proponent of the consumer welfare standard, stated in</w:t>
      </w:r>
      <w:r w:rsidR="00DC1FC7" w:rsidRPr="0064622B">
        <w:rPr>
          <w:rFonts w:cstheme="minorHAnsi"/>
          <w:sz w:val="24"/>
          <w:szCs w:val="24"/>
        </w:rPr>
        <w:t xml:space="preserve"> </w:t>
      </w:r>
      <w:r w:rsidRPr="0064622B">
        <w:rPr>
          <w:rFonts w:cstheme="minorHAnsi"/>
          <w:sz w:val="24"/>
          <w:szCs w:val="24"/>
        </w:rPr>
        <w:t xml:space="preserve">his classic work titled </w:t>
      </w:r>
      <w:r w:rsidRPr="0064622B">
        <w:rPr>
          <w:rFonts w:cstheme="minorHAnsi"/>
          <w:i/>
          <w:iCs/>
          <w:sz w:val="24"/>
          <w:szCs w:val="24"/>
        </w:rPr>
        <w:t xml:space="preserve">The Antitrust Paradox, </w:t>
      </w:r>
      <w:r w:rsidRPr="0064622B">
        <w:rPr>
          <w:rFonts w:cstheme="minorHAnsi"/>
          <w:sz w:val="24"/>
          <w:szCs w:val="24"/>
        </w:rPr>
        <w:t xml:space="preserve">antitrust law </w:t>
      </w:r>
      <w:r w:rsidRPr="0064622B">
        <w:rPr>
          <w:rFonts w:cstheme="minorHAnsi"/>
          <w:i/>
          <w:iCs/>
          <w:sz w:val="24"/>
          <w:szCs w:val="24"/>
        </w:rPr>
        <w:t>“</w:t>
      </w:r>
      <w:r w:rsidRPr="0064622B">
        <w:rPr>
          <w:rFonts w:cstheme="minorHAnsi"/>
          <w:sz w:val="24"/>
          <w:szCs w:val="24"/>
        </w:rPr>
        <w:t>necessarily implies a legislative decision that business units should prosper or decline, live or die according to their abilities to meet the desires of their consumers.”</w:t>
      </w:r>
      <w:r w:rsidRPr="0064622B">
        <w:rPr>
          <w:rStyle w:val="FootnoteReference"/>
          <w:rFonts w:cstheme="minorHAnsi"/>
          <w:sz w:val="24"/>
          <w:szCs w:val="24"/>
        </w:rPr>
        <w:footnoteReference w:id="11"/>
      </w:r>
    </w:p>
    <w:p w14:paraId="2728D9B6" w14:textId="390C5F00" w:rsidR="00DC1FC7" w:rsidRPr="0064622B" w:rsidRDefault="00DC1FC7" w:rsidP="004D385A">
      <w:pPr>
        <w:spacing w:line="360" w:lineRule="auto"/>
        <w:rPr>
          <w:rFonts w:cstheme="minorHAnsi"/>
          <w:sz w:val="24"/>
          <w:szCs w:val="24"/>
        </w:rPr>
      </w:pPr>
      <w:r w:rsidRPr="0064622B">
        <w:rPr>
          <w:rFonts w:cstheme="minorHAnsi"/>
          <w:sz w:val="24"/>
          <w:szCs w:val="24"/>
        </w:rPr>
        <w:t>Bork was motivated to examine anti</w:t>
      </w:r>
      <w:r w:rsidR="00F404C9" w:rsidRPr="0064622B">
        <w:rPr>
          <w:rFonts w:cstheme="minorHAnsi"/>
          <w:sz w:val="24"/>
          <w:szCs w:val="24"/>
        </w:rPr>
        <w:t>t</w:t>
      </w:r>
      <w:r w:rsidRPr="0064622B">
        <w:rPr>
          <w:rFonts w:cstheme="minorHAnsi"/>
          <w:sz w:val="24"/>
          <w:szCs w:val="24"/>
        </w:rPr>
        <w:t xml:space="preserve">rust </w:t>
      </w:r>
      <w:r w:rsidR="00F404C9" w:rsidRPr="0064622B">
        <w:rPr>
          <w:rFonts w:cstheme="minorHAnsi"/>
          <w:sz w:val="24"/>
          <w:szCs w:val="24"/>
        </w:rPr>
        <w:t xml:space="preserve">law </w:t>
      </w:r>
      <w:r w:rsidRPr="0064622B">
        <w:rPr>
          <w:rFonts w:cstheme="minorHAnsi"/>
          <w:sz w:val="24"/>
          <w:szCs w:val="24"/>
        </w:rPr>
        <w:t xml:space="preserve">because </w:t>
      </w:r>
      <w:r w:rsidR="00F404C9" w:rsidRPr="0064622B">
        <w:rPr>
          <w:rFonts w:cstheme="minorHAnsi"/>
          <w:sz w:val="24"/>
          <w:szCs w:val="24"/>
        </w:rPr>
        <w:t xml:space="preserve">it </w:t>
      </w:r>
      <w:r w:rsidRPr="0064622B">
        <w:rPr>
          <w:rFonts w:cstheme="minorHAnsi"/>
          <w:sz w:val="24"/>
          <w:szCs w:val="24"/>
        </w:rPr>
        <w:t>“cannot be made rational until we are able to give a firm answer to one question: what is the point of the law—what are its goals?”</w:t>
      </w:r>
      <w:r w:rsidRPr="0064622B">
        <w:rPr>
          <w:rStyle w:val="FootnoteReference"/>
          <w:rFonts w:cstheme="minorHAnsi"/>
          <w:sz w:val="24"/>
          <w:szCs w:val="24"/>
        </w:rPr>
        <w:footnoteReference w:id="12"/>
      </w:r>
    </w:p>
    <w:p w14:paraId="6534DCD4" w14:textId="26EFCAED" w:rsidR="00DC1FC7" w:rsidRPr="0064622B" w:rsidRDefault="00DC1FC7" w:rsidP="004D385A">
      <w:pPr>
        <w:spacing w:line="360" w:lineRule="auto"/>
        <w:rPr>
          <w:rFonts w:cstheme="minorHAnsi"/>
          <w:sz w:val="24"/>
          <w:szCs w:val="24"/>
        </w:rPr>
      </w:pPr>
      <w:r w:rsidRPr="0064622B">
        <w:rPr>
          <w:rFonts w:cstheme="minorHAnsi"/>
          <w:sz w:val="24"/>
          <w:szCs w:val="24"/>
        </w:rPr>
        <w:t xml:space="preserve">To answer his question, Bork examined the legislative history of federal antitrust laws to understand </w:t>
      </w:r>
      <w:r w:rsidR="006C02DE">
        <w:rPr>
          <w:rFonts w:cstheme="minorHAnsi"/>
          <w:sz w:val="24"/>
          <w:szCs w:val="24"/>
        </w:rPr>
        <w:t xml:space="preserve">both </w:t>
      </w:r>
      <w:r w:rsidRPr="0064622B">
        <w:rPr>
          <w:rFonts w:cstheme="minorHAnsi"/>
          <w:sz w:val="24"/>
          <w:szCs w:val="24"/>
        </w:rPr>
        <w:t xml:space="preserve">congressional intent and judicial history to see how courts had interpreted the laws. He also applied economic insights derived (as stated above) from the law and economics school, which taught that judges should, to the extent possible, try to interpret law in the way that best promoted economic efficiency. </w:t>
      </w:r>
    </w:p>
    <w:p w14:paraId="38089652" w14:textId="77777777" w:rsidR="00DC1FC7" w:rsidRPr="0064622B" w:rsidRDefault="00DC1FC7" w:rsidP="004D385A">
      <w:pPr>
        <w:spacing w:line="360" w:lineRule="auto"/>
        <w:rPr>
          <w:rFonts w:cstheme="minorHAnsi"/>
          <w:sz w:val="24"/>
          <w:szCs w:val="24"/>
        </w:rPr>
      </w:pPr>
      <w:r w:rsidRPr="0064622B">
        <w:rPr>
          <w:rFonts w:cstheme="minorHAnsi"/>
          <w:sz w:val="24"/>
          <w:szCs w:val="24"/>
        </w:rPr>
        <w:t xml:space="preserve">Bork determined that Congress intended antitrust laws to promote economic efficiency by protecting competition in order to protect consumers. Therefore, the end goal of antitrust laws was to ensure markets serve consumers—not to ensure a “competitive market” by limiting the size of a company to ensure that company’s competitors had a “fair” market share. </w:t>
      </w:r>
    </w:p>
    <w:p w14:paraId="3C7B9172" w14:textId="77777777" w:rsidR="00DC1FC7" w:rsidRPr="0064622B" w:rsidRDefault="00DC1FC7" w:rsidP="004D385A">
      <w:pPr>
        <w:spacing w:line="360" w:lineRule="auto"/>
        <w:rPr>
          <w:rFonts w:cstheme="minorHAnsi"/>
          <w:sz w:val="24"/>
          <w:szCs w:val="24"/>
        </w:rPr>
      </w:pPr>
      <w:r w:rsidRPr="0064622B">
        <w:rPr>
          <w:rFonts w:cstheme="minorHAnsi"/>
          <w:sz w:val="24"/>
          <w:szCs w:val="24"/>
        </w:rPr>
        <w:t>Bork’s analysis of the legislative intent behind making naked price-fixing agreements “per se illegal” applies to all antitrust laws: “The only value that the per se rule implements is consumer welfare, since it necessarily implies a legislative decision that business units should prosper or decline, live or die according to their abilities to meet the desires of their consumers.”</w:t>
      </w:r>
      <w:r w:rsidRPr="0064622B">
        <w:rPr>
          <w:rStyle w:val="FootnoteReference"/>
          <w:rFonts w:cstheme="minorHAnsi"/>
          <w:sz w:val="24"/>
          <w:szCs w:val="24"/>
        </w:rPr>
        <w:footnoteReference w:id="13"/>
      </w:r>
      <w:r w:rsidRPr="0064622B">
        <w:rPr>
          <w:rFonts w:cstheme="minorHAnsi"/>
          <w:sz w:val="24"/>
          <w:szCs w:val="24"/>
        </w:rPr>
        <w:t xml:space="preserve"> </w:t>
      </w:r>
    </w:p>
    <w:p w14:paraId="35FFC8B7" w14:textId="2A8689DA" w:rsidR="00DC1FC7" w:rsidRPr="0064622B" w:rsidRDefault="00DC1FC7" w:rsidP="004D385A">
      <w:pPr>
        <w:spacing w:line="360" w:lineRule="auto"/>
        <w:rPr>
          <w:rFonts w:cstheme="minorHAnsi"/>
          <w:b/>
          <w:bCs/>
          <w:sz w:val="24"/>
          <w:szCs w:val="24"/>
          <w:shd w:val="clear" w:color="auto" w:fill="FFFFFF"/>
        </w:rPr>
      </w:pPr>
      <w:r w:rsidRPr="0064622B">
        <w:rPr>
          <w:rFonts w:cstheme="minorHAnsi"/>
          <w:sz w:val="24"/>
          <w:szCs w:val="24"/>
        </w:rPr>
        <w:t xml:space="preserve">The consumer welfare standard began to displace the “bigness” standard during the Carter Administration and become the dominant approach to antitrust enforcement during the </w:t>
      </w:r>
      <w:r w:rsidRPr="0064622B">
        <w:rPr>
          <w:rFonts w:cstheme="minorHAnsi"/>
          <w:sz w:val="24"/>
          <w:szCs w:val="24"/>
        </w:rPr>
        <w:lastRenderedPageBreak/>
        <w:t>Reagan years.</w:t>
      </w:r>
      <w:r w:rsidRPr="0064622B">
        <w:rPr>
          <w:rStyle w:val="FootnoteReference"/>
          <w:rFonts w:cstheme="minorHAnsi"/>
          <w:sz w:val="24"/>
          <w:szCs w:val="24"/>
        </w:rPr>
        <w:footnoteReference w:id="14"/>
      </w:r>
      <w:r w:rsidRPr="0064622B">
        <w:rPr>
          <w:rFonts w:cstheme="minorHAnsi"/>
          <w:sz w:val="24"/>
          <w:szCs w:val="24"/>
        </w:rPr>
        <w:t xml:space="preserve"> Even the liberal Clinton and Obama administrations—which favored more vigorous enforcement of anti</w:t>
      </w:r>
      <w:r w:rsidR="009E17BA" w:rsidRPr="0064622B">
        <w:rPr>
          <w:rFonts w:cstheme="minorHAnsi"/>
          <w:sz w:val="24"/>
          <w:szCs w:val="24"/>
        </w:rPr>
        <w:t>t</w:t>
      </w:r>
      <w:r w:rsidRPr="0064622B">
        <w:rPr>
          <w:rFonts w:cstheme="minorHAnsi"/>
          <w:sz w:val="24"/>
          <w:szCs w:val="24"/>
        </w:rPr>
        <w:t xml:space="preserve">rust than the Reagan administration—maintained the consumer welfare standard. As Carl Shapiro, </w:t>
      </w:r>
      <w:r w:rsidR="000953F4">
        <w:rPr>
          <w:rFonts w:cstheme="minorHAnsi"/>
          <w:sz w:val="24"/>
          <w:szCs w:val="24"/>
        </w:rPr>
        <w:t>d</w:t>
      </w:r>
      <w:r w:rsidRPr="0064622B">
        <w:rPr>
          <w:rFonts w:cstheme="minorHAnsi"/>
          <w:sz w:val="24"/>
          <w:szCs w:val="24"/>
        </w:rPr>
        <w:t xml:space="preserve">eputy </w:t>
      </w:r>
      <w:r w:rsidR="000953F4">
        <w:rPr>
          <w:rFonts w:cstheme="minorHAnsi"/>
          <w:sz w:val="24"/>
          <w:szCs w:val="24"/>
        </w:rPr>
        <w:t>d</w:t>
      </w:r>
      <w:r w:rsidRPr="0064622B">
        <w:rPr>
          <w:rFonts w:cstheme="minorHAnsi"/>
          <w:sz w:val="24"/>
          <w:szCs w:val="24"/>
        </w:rPr>
        <w:t xml:space="preserve">irector for </w:t>
      </w:r>
      <w:r w:rsidR="000953F4">
        <w:rPr>
          <w:rFonts w:cstheme="minorHAnsi"/>
          <w:sz w:val="24"/>
          <w:szCs w:val="24"/>
        </w:rPr>
        <w:t>a</w:t>
      </w:r>
      <w:r w:rsidRPr="0064622B">
        <w:rPr>
          <w:rFonts w:cstheme="minorHAnsi"/>
          <w:sz w:val="24"/>
          <w:szCs w:val="24"/>
        </w:rPr>
        <w:t xml:space="preserve">ntitrust in the Clinton Justice Department and </w:t>
      </w:r>
      <w:r w:rsidR="00C4689A" w:rsidRPr="0064622B">
        <w:rPr>
          <w:rFonts w:cstheme="minorHAnsi"/>
          <w:sz w:val="24"/>
          <w:szCs w:val="24"/>
        </w:rPr>
        <w:t xml:space="preserve">one </w:t>
      </w:r>
      <w:r w:rsidRPr="0064622B">
        <w:rPr>
          <w:rFonts w:cstheme="minorHAnsi"/>
          <w:sz w:val="24"/>
          <w:szCs w:val="24"/>
        </w:rPr>
        <w:t>of President Obama’s Council of Economic Advis</w:t>
      </w:r>
      <w:r w:rsidR="00BD4456">
        <w:rPr>
          <w:rFonts w:cstheme="minorHAnsi"/>
          <w:sz w:val="24"/>
          <w:szCs w:val="24"/>
        </w:rPr>
        <w:t>e</w:t>
      </w:r>
      <w:r w:rsidRPr="0064622B">
        <w:rPr>
          <w:rFonts w:cstheme="minorHAnsi"/>
          <w:sz w:val="24"/>
          <w:szCs w:val="24"/>
        </w:rPr>
        <w:t xml:space="preserve">rs, </w:t>
      </w:r>
      <w:r w:rsidR="00C4689A" w:rsidRPr="0064622B">
        <w:rPr>
          <w:rFonts w:cstheme="minorHAnsi"/>
          <w:sz w:val="24"/>
          <w:szCs w:val="24"/>
        </w:rPr>
        <w:t xml:space="preserve">told the </w:t>
      </w:r>
      <w:r w:rsidRPr="0064622B">
        <w:rPr>
          <w:rFonts w:cstheme="minorHAnsi"/>
          <w:sz w:val="24"/>
          <w:szCs w:val="24"/>
        </w:rPr>
        <w:t>Senate</w:t>
      </w:r>
      <w:r w:rsidR="00C4689A" w:rsidRPr="0064622B">
        <w:rPr>
          <w:rFonts w:cstheme="minorHAnsi"/>
          <w:sz w:val="24"/>
          <w:szCs w:val="24"/>
        </w:rPr>
        <w:t>,</w:t>
      </w:r>
      <w:r w:rsidRPr="0064622B">
        <w:rPr>
          <w:rFonts w:cstheme="minorHAnsi"/>
          <w:sz w:val="24"/>
          <w:szCs w:val="24"/>
        </w:rPr>
        <w:t xml:space="preserve"> </w:t>
      </w:r>
      <w:r w:rsidRPr="0064622B">
        <w:rPr>
          <w:rFonts w:cstheme="minorHAnsi"/>
          <w:sz w:val="24"/>
          <w:szCs w:val="24"/>
          <w:shd w:val="clear" w:color="auto" w:fill="FFFFFF"/>
        </w:rPr>
        <w:t>“I don't know any serious antitrust scholars who want to move away from the consumer welfare standard.”</w:t>
      </w:r>
      <w:r w:rsidRPr="0064622B">
        <w:rPr>
          <w:rStyle w:val="FootnoteReference"/>
          <w:rFonts w:cstheme="minorHAnsi"/>
          <w:sz w:val="24"/>
          <w:szCs w:val="24"/>
          <w:shd w:val="clear" w:color="auto" w:fill="FFFFFF"/>
        </w:rPr>
        <w:footnoteReference w:id="15"/>
      </w:r>
    </w:p>
    <w:p w14:paraId="63CB56C3" w14:textId="77777777" w:rsidR="00DC1FC7" w:rsidRPr="0064622B" w:rsidRDefault="00DC1FC7" w:rsidP="00746354">
      <w:pPr>
        <w:rPr>
          <w:rFonts w:cstheme="minorHAnsi"/>
          <w:b/>
          <w:bCs/>
          <w:sz w:val="24"/>
          <w:szCs w:val="24"/>
          <w:shd w:val="clear" w:color="auto" w:fill="FFFFFF"/>
        </w:rPr>
      </w:pPr>
    </w:p>
    <w:p w14:paraId="54D08482" w14:textId="189EE1C6" w:rsidR="00746354" w:rsidRPr="0064622B" w:rsidRDefault="00B2122B" w:rsidP="004D385A">
      <w:pPr>
        <w:spacing w:line="360" w:lineRule="auto"/>
        <w:rPr>
          <w:rFonts w:cstheme="minorHAnsi"/>
          <w:b/>
          <w:bCs/>
          <w:sz w:val="24"/>
          <w:szCs w:val="24"/>
        </w:rPr>
      </w:pPr>
      <w:r w:rsidRPr="0064622B">
        <w:rPr>
          <w:rFonts w:cstheme="minorHAnsi"/>
          <w:b/>
          <w:bCs/>
          <w:sz w:val="24"/>
          <w:szCs w:val="24"/>
        </w:rPr>
        <w:t>III</w:t>
      </w:r>
      <w:r w:rsidR="00746354" w:rsidRPr="0064622B">
        <w:rPr>
          <w:rFonts w:cstheme="minorHAnsi"/>
          <w:b/>
          <w:bCs/>
          <w:sz w:val="24"/>
          <w:szCs w:val="24"/>
        </w:rPr>
        <w:t xml:space="preserve">. </w:t>
      </w:r>
      <w:r w:rsidRPr="0064622B">
        <w:rPr>
          <w:rFonts w:cstheme="minorHAnsi"/>
          <w:b/>
          <w:bCs/>
          <w:sz w:val="24"/>
          <w:szCs w:val="24"/>
        </w:rPr>
        <w:tab/>
      </w:r>
      <w:r w:rsidR="00746354" w:rsidRPr="0064622B">
        <w:rPr>
          <w:rFonts w:cstheme="minorHAnsi"/>
          <w:b/>
          <w:bCs/>
          <w:sz w:val="24"/>
          <w:szCs w:val="24"/>
        </w:rPr>
        <w:t>Progressives’ Attacks on the Consumer Welfare Standard</w:t>
      </w:r>
    </w:p>
    <w:p w14:paraId="5E7852A8" w14:textId="51CA68CB" w:rsidR="00746354" w:rsidRPr="0064622B" w:rsidRDefault="00746354" w:rsidP="004D385A">
      <w:pPr>
        <w:spacing w:line="360" w:lineRule="auto"/>
        <w:rPr>
          <w:rFonts w:cstheme="minorHAnsi"/>
          <w:sz w:val="24"/>
          <w:szCs w:val="24"/>
        </w:rPr>
      </w:pPr>
      <w:r w:rsidRPr="0064622B">
        <w:rPr>
          <w:rFonts w:cstheme="minorHAnsi"/>
          <w:sz w:val="24"/>
          <w:szCs w:val="24"/>
        </w:rPr>
        <w:t>The consumer welfare standard reigned as the guiding principle of antitrust law from the 1980s until the Biden Administration. However,</w:t>
      </w:r>
      <w:r w:rsidR="005B137D" w:rsidRPr="0064622B">
        <w:rPr>
          <w:rFonts w:cstheme="minorHAnsi"/>
          <w:sz w:val="24"/>
          <w:szCs w:val="24"/>
        </w:rPr>
        <w:t xml:space="preserve"> during that time</w:t>
      </w:r>
      <w:r w:rsidR="0051239B" w:rsidRPr="0064622B">
        <w:rPr>
          <w:rFonts w:cstheme="minorHAnsi"/>
          <w:sz w:val="24"/>
          <w:szCs w:val="24"/>
        </w:rPr>
        <w:t>,</w:t>
      </w:r>
      <w:r w:rsidRPr="0064622B">
        <w:rPr>
          <w:rFonts w:cstheme="minorHAnsi"/>
          <w:sz w:val="24"/>
          <w:szCs w:val="24"/>
        </w:rPr>
        <w:t xml:space="preserve"> it was not safe from criticism. Progressives never embraced the consumer welfare standard. For example, David Dayen, executive editor of the American Prospect, wrote that the consumer welfare standard replaced the idea that “bright-line rules limiting market share in a particular sector could nullify mergers or even break up companies’ into a technocratic debate among economists.”</w:t>
      </w:r>
      <w:r w:rsidRPr="0064622B">
        <w:rPr>
          <w:rStyle w:val="FootnoteReference"/>
          <w:rFonts w:cstheme="minorHAnsi"/>
          <w:sz w:val="24"/>
          <w:szCs w:val="24"/>
        </w:rPr>
        <w:footnoteReference w:id="16"/>
      </w:r>
      <w:r w:rsidRPr="0064622B">
        <w:rPr>
          <w:rFonts w:cstheme="minorHAnsi"/>
          <w:sz w:val="24"/>
          <w:szCs w:val="24"/>
        </w:rPr>
        <w:t xml:space="preserve"> In other words, it allowed economists </w:t>
      </w:r>
      <w:r w:rsidR="006E2A42" w:rsidRPr="0064622B">
        <w:rPr>
          <w:rFonts w:cstheme="minorHAnsi"/>
          <w:sz w:val="24"/>
          <w:szCs w:val="24"/>
        </w:rPr>
        <w:t xml:space="preserve">to make </w:t>
      </w:r>
      <w:r w:rsidRPr="0064622B">
        <w:rPr>
          <w:rFonts w:cstheme="minorHAnsi"/>
          <w:sz w:val="24"/>
          <w:szCs w:val="24"/>
        </w:rPr>
        <w:t xml:space="preserve">rational arguments against punishing big business for the “crime” of being too big. </w:t>
      </w:r>
    </w:p>
    <w:p w14:paraId="4907D24B" w14:textId="2659B352" w:rsidR="00746354" w:rsidRPr="0064622B" w:rsidRDefault="00746354" w:rsidP="004D385A">
      <w:pPr>
        <w:spacing w:line="360" w:lineRule="auto"/>
        <w:rPr>
          <w:rFonts w:cstheme="minorHAnsi"/>
          <w:sz w:val="24"/>
          <w:szCs w:val="24"/>
        </w:rPr>
      </w:pPr>
      <w:r w:rsidRPr="0064622B">
        <w:rPr>
          <w:rFonts w:cstheme="minorHAnsi"/>
          <w:sz w:val="24"/>
          <w:szCs w:val="24"/>
        </w:rPr>
        <w:t>Another line of attack, presented by Bedoya in his speech at the Midwest Forum,</w:t>
      </w:r>
      <w:r w:rsidRPr="0064622B">
        <w:rPr>
          <w:rStyle w:val="FootnoteReference"/>
          <w:rFonts w:cstheme="minorHAnsi"/>
          <w:sz w:val="24"/>
          <w:szCs w:val="24"/>
        </w:rPr>
        <w:footnoteReference w:id="17"/>
      </w:r>
      <w:r w:rsidRPr="0064622B">
        <w:rPr>
          <w:rFonts w:cstheme="minorHAnsi"/>
          <w:sz w:val="24"/>
          <w:szCs w:val="24"/>
        </w:rPr>
        <w:t xml:space="preserve"> is that the consumer welfare standard means that antitrust law should only focus on whether an alleged “anticompetitive” action lowers consumer prices. This distorts Bork’s point, which is that antitrust law should, to the greatest extent possible,</w:t>
      </w:r>
      <w:r w:rsidRPr="00DC1FC7">
        <w:rPr>
          <w:rFonts w:cstheme="minorHAnsi"/>
          <w:sz w:val="20"/>
          <w:szCs w:val="20"/>
        </w:rPr>
        <w:t xml:space="preserve"> </w:t>
      </w:r>
      <w:r w:rsidRPr="0064622B">
        <w:rPr>
          <w:rFonts w:cstheme="minorHAnsi"/>
          <w:sz w:val="24"/>
          <w:szCs w:val="24"/>
        </w:rPr>
        <w:t xml:space="preserve">mirror the way businesses actually operate. In a free market, all businesses operate with the goal of </w:t>
      </w:r>
      <w:r w:rsidR="009D498C" w:rsidRPr="0064622B">
        <w:rPr>
          <w:rFonts w:cstheme="minorHAnsi"/>
          <w:sz w:val="24"/>
          <w:szCs w:val="24"/>
        </w:rPr>
        <w:t>adding value to their shareholders</w:t>
      </w:r>
      <w:r w:rsidRPr="0064622B">
        <w:rPr>
          <w:rFonts w:cstheme="minorHAnsi"/>
          <w:sz w:val="24"/>
          <w:szCs w:val="24"/>
        </w:rPr>
        <w:t>. As the great economist Ludwig Von Misses put it, the consumer is sovereign.</w:t>
      </w:r>
      <w:r w:rsidRPr="0064622B">
        <w:rPr>
          <w:rStyle w:val="FootnoteReference"/>
          <w:rFonts w:cstheme="minorHAnsi"/>
          <w:sz w:val="24"/>
          <w:szCs w:val="24"/>
        </w:rPr>
        <w:footnoteReference w:id="18"/>
      </w:r>
    </w:p>
    <w:p w14:paraId="4C1B6A3A" w14:textId="287B3FB2" w:rsidR="00746354" w:rsidRPr="0064622B" w:rsidRDefault="00746354" w:rsidP="004D385A">
      <w:pPr>
        <w:spacing w:line="360" w:lineRule="auto"/>
        <w:rPr>
          <w:rFonts w:cstheme="minorHAnsi"/>
          <w:sz w:val="24"/>
          <w:szCs w:val="24"/>
        </w:rPr>
      </w:pPr>
      <w:r w:rsidRPr="0064622B">
        <w:rPr>
          <w:rFonts w:cstheme="minorHAnsi"/>
          <w:sz w:val="24"/>
          <w:szCs w:val="24"/>
        </w:rPr>
        <w:lastRenderedPageBreak/>
        <w:t xml:space="preserve">Lower prices may </w:t>
      </w:r>
      <w:r w:rsidR="003E07E4">
        <w:rPr>
          <w:rFonts w:cstheme="minorHAnsi"/>
          <w:sz w:val="24"/>
          <w:szCs w:val="24"/>
        </w:rPr>
        <w:t xml:space="preserve">be </w:t>
      </w:r>
      <w:proofErr w:type="gramStart"/>
      <w:r w:rsidR="00C11B83" w:rsidRPr="0064622B">
        <w:rPr>
          <w:rFonts w:cstheme="minorHAnsi"/>
          <w:sz w:val="24"/>
          <w:szCs w:val="24"/>
        </w:rPr>
        <w:t xml:space="preserve">one </w:t>
      </w:r>
      <w:r w:rsidRPr="0064622B">
        <w:rPr>
          <w:rFonts w:cstheme="minorHAnsi"/>
          <w:sz w:val="24"/>
          <w:szCs w:val="24"/>
        </w:rPr>
        <w:t>way</w:t>
      </w:r>
      <w:proofErr w:type="gramEnd"/>
      <w:r w:rsidRPr="0064622B">
        <w:rPr>
          <w:rFonts w:cstheme="minorHAnsi"/>
          <w:sz w:val="24"/>
          <w:szCs w:val="24"/>
        </w:rPr>
        <w:t xml:space="preserve"> business</w:t>
      </w:r>
      <w:r w:rsidR="00850A71" w:rsidRPr="0064622B">
        <w:rPr>
          <w:rFonts w:cstheme="minorHAnsi"/>
          <w:sz w:val="24"/>
          <w:szCs w:val="24"/>
        </w:rPr>
        <w:t>es</w:t>
      </w:r>
      <w:r w:rsidRPr="0064622B">
        <w:rPr>
          <w:rFonts w:cstheme="minorHAnsi"/>
          <w:sz w:val="24"/>
          <w:szCs w:val="24"/>
        </w:rPr>
        <w:t xml:space="preserve"> seek to </w:t>
      </w:r>
      <w:r w:rsidR="009F7788" w:rsidRPr="0064622B">
        <w:rPr>
          <w:rFonts w:cstheme="minorHAnsi"/>
          <w:sz w:val="24"/>
          <w:szCs w:val="24"/>
        </w:rPr>
        <w:t xml:space="preserve">attract </w:t>
      </w:r>
      <w:r w:rsidRPr="0064622B">
        <w:rPr>
          <w:rFonts w:cstheme="minorHAnsi"/>
          <w:sz w:val="24"/>
          <w:szCs w:val="24"/>
        </w:rPr>
        <w:t xml:space="preserve">consumers, but it is hardly the only way. Product quality, customer service, ease of returning/exchanging products, and a product’s longevity can all </w:t>
      </w:r>
      <w:r w:rsidR="007712F5">
        <w:rPr>
          <w:rFonts w:cstheme="minorHAnsi"/>
          <w:sz w:val="24"/>
          <w:szCs w:val="24"/>
        </w:rPr>
        <w:t xml:space="preserve">be </w:t>
      </w:r>
      <w:r w:rsidRPr="0064622B">
        <w:rPr>
          <w:rFonts w:cstheme="minorHAnsi"/>
          <w:sz w:val="24"/>
          <w:szCs w:val="24"/>
        </w:rPr>
        <w:t xml:space="preserve">ways </w:t>
      </w:r>
      <w:r w:rsidR="0094034F">
        <w:rPr>
          <w:rFonts w:cstheme="minorHAnsi"/>
          <w:sz w:val="24"/>
          <w:szCs w:val="24"/>
        </w:rPr>
        <w:t xml:space="preserve">for </w:t>
      </w:r>
      <w:r w:rsidRPr="0064622B">
        <w:rPr>
          <w:rFonts w:cstheme="minorHAnsi"/>
          <w:sz w:val="24"/>
          <w:szCs w:val="24"/>
        </w:rPr>
        <w:t xml:space="preserve">businesses </w:t>
      </w:r>
      <w:r w:rsidR="0094034F">
        <w:rPr>
          <w:rFonts w:cstheme="minorHAnsi"/>
          <w:sz w:val="24"/>
          <w:szCs w:val="24"/>
        </w:rPr>
        <w:t xml:space="preserve">to </w:t>
      </w:r>
      <w:r w:rsidRPr="0064622B">
        <w:rPr>
          <w:rFonts w:cstheme="minorHAnsi"/>
          <w:sz w:val="24"/>
          <w:szCs w:val="24"/>
        </w:rPr>
        <w:t>attract and keep consumers.</w:t>
      </w:r>
    </w:p>
    <w:p w14:paraId="52C70AE3" w14:textId="46AEC5CC" w:rsidR="00746354" w:rsidRPr="0064622B" w:rsidRDefault="00746354" w:rsidP="004D385A">
      <w:pPr>
        <w:spacing w:line="360" w:lineRule="auto"/>
        <w:rPr>
          <w:rFonts w:cstheme="minorHAnsi"/>
          <w:sz w:val="24"/>
          <w:szCs w:val="24"/>
        </w:rPr>
      </w:pPr>
      <w:r w:rsidRPr="0064622B">
        <w:rPr>
          <w:rFonts w:cstheme="minorHAnsi"/>
          <w:sz w:val="24"/>
          <w:szCs w:val="24"/>
        </w:rPr>
        <w:t>Bedoya claims the focus on lower prices shows that the consumer welfare standard is actually not about pleasing consumers</w:t>
      </w:r>
      <w:r w:rsidR="005F74A3" w:rsidRPr="0064622B">
        <w:rPr>
          <w:rFonts w:cstheme="minorHAnsi"/>
          <w:sz w:val="24"/>
          <w:szCs w:val="24"/>
        </w:rPr>
        <w:t>,</w:t>
      </w:r>
      <w:r w:rsidRPr="0064622B">
        <w:rPr>
          <w:rFonts w:cstheme="minorHAnsi"/>
          <w:sz w:val="24"/>
          <w:szCs w:val="24"/>
        </w:rPr>
        <w:t xml:space="preserve"> rather meeting some theoretical notion of “efficiency.” Bedoya shares a heartbreaking story about a family who could not obtain cancer medicine for their child because their insurance company’s Pharmaceutical Benefit Manger (PBM) decided it </w:t>
      </w:r>
      <w:r w:rsidR="003A36E2" w:rsidRPr="0064622B">
        <w:rPr>
          <w:rFonts w:cstheme="minorHAnsi"/>
          <w:sz w:val="24"/>
          <w:szCs w:val="24"/>
        </w:rPr>
        <w:t xml:space="preserve">was </w:t>
      </w:r>
      <w:r w:rsidRPr="0064622B">
        <w:rPr>
          <w:rFonts w:cstheme="minorHAnsi"/>
          <w:sz w:val="24"/>
          <w:szCs w:val="24"/>
        </w:rPr>
        <w:t>more “efficient” for the family to wait two weeks to get the medicine in the mail. Now</w:t>
      </w:r>
      <w:r w:rsidR="00046C4B" w:rsidRPr="0064622B">
        <w:rPr>
          <w:rFonts w:cstheme="minorHAnsi"/>
          <w:sz w:val="24"/>
          <w:szCs w:val="24"/>
        </w:rPr>
        <w:t>—</w:t>
      </w:r>
      <w:r w:rsidRPr="0064622B">
        <w:rPr>
          <w:rFonts w:cstheme="minorHAnsi"/>
          <w:sz w:val="24"/>
          <w:szCs w:val="24"/>
        </w:rPr>
        <w:t>even if the family saved a few dollars by waiting for the postman to deliver their child’s cancer</w:t>
      </w:r>
      <w:r w:rsidR="002F4E92" w:rsidRPr="0064622B">
        <w:rPr>
          <w:rFonts w:cstheme="minorHAnsi"/>
          <w:sz w:val="24"/>
          <w:szCs w:val="24"/>
        </w:rPr>
        <w:t xml:space="preserve"> </w:t>
      </w:r>
      <w:r w:rsidRPr="0064622B">
        <w:rPr>
          <w:rFonts w:cstheme="minorHAnsi"/>
          <w:sz w:val="24"/>
          <w:szCs w:val="24"/>
        </w:rPr>
        <w:t>medicine</w:t>
      </w:r>
      <w:r w:rsidR="00046C4B" w:rsidRPr="0064622B">
        <w:rPr>
          <w:rFonts w:cstheme="minorHAnsi"/>
          <w:sz w:val="24"/>
          <w:szCs w:val="24"/>
        </w:rPr>
        <w:t>—</w:t>
      </w:r>
      <w:r w:rsidRPr="0064622B">
        <w:rPr>
          <w:rFonts w:cstheme="minorHAnsi"/>
          <w:sz w:val="24"/>
          <w:szCs w:val="24"/>
        </w:rPr>
        <w:t>can any decent person claim making them wait enhances the family’s welfare?</w:t>
      </w:r>
      <w:r w:rsidR="002F4E92" w:rsidRPr="0064622B">
        <w:rPr>
          <w:rFonts w:cstheme="minorHAnsi"/>
          <w:sz w:val="24"/>
          <w:szCs w:val="24"/>
        </w:rPr>
        <w:t xml:space="preserve"> </w:t>
      </w:r>
      <w:r w:rsidRPr="0064622B">
        <w:rPr>
          <w:rFonts w:cstheme="minorHAnsi"/>
          <w:sz w:val="24"/>
          <w:szCs w:val="24"/>
        </w:rPr>
        <w:t xml:space="preserve">The </w:t>
      </w:r>
      <w:r w:rsidR="00D605A1" w:rsidRPr="0064622B">
        <w:rPr>
          <w:rFonts w:cstheme="minorHAnsi"/>
          <w:sz w:val="24"/>
          <w:szCs w:val="24"/>
        </w:rPr>
        <w:t xml:space="preserve">anecdote </w:t>
      </w:r>
      <w:r w:rsidRPr="0064622B">
        <w:rPr>
          <w:rFonts w:cstheme="minorHAnsi"/>
          <w:sz w:val="24"/>
          <w:szCs w:val="24"/>
        </w:rPr>
        <w:t xml:space="preserve">does not illustrate a flaw in the consumer welfare standard. Conversely, it emphasizes the intrinsic flaw in governmental policies that have put insurance agents, businesses who provide health benefits, and the government </w:t>
      </w:r>
      <w:proofErr w:type="gramStart"/>
      <w:r w:rsidRPr="0064622B">
        <w:rPr>
          <w:rFonts w:cstheme="minorHAnsi"/>
          <w:sz w:val="24"/>
          <w:szCs w:val="24"/>
        </w:rPr>
        <w:t>itself</w:t>
      </w:r>
      <w:proofErr w:type="gramEnd"/>
      <w:r w:rsidRPr="0064622B">
        <w:rPr>
          <w:rFonts w:cstheme="minorHAnsi"/>
          <w:sz w:val="24"/>
          <w:szCs w:val="24"/>
        </w:rPr>
        <w:t xml:space="preserve"> the center of the healthcare system</w:t>
      </w:r>
      <w:r w:rsidR="002661F3" w:rsidRPr="0064622B">
        <w:rPr>
          <w:rFonts w:cstheme="minorHAnsi"/>
          <w:sz w:val="24"/>
          <w:szCs w:val="24"/>
        </w:rPr>
        <w:t xml:space="preserve"> </w:t>
      </w:r>
      <w:r w:rsidRPr="0064622B">
        <w:rPr>
          <w:rFonts w:cstheme="minorHAnsi"/>
          <w:sz w:val="24"/>
          <w:szCs w:val="24"/>
        </w:rPr>
        <w:t>in place of the individual patient.</w:t>
      </w:r>
    </w:p>
    <w:p w14:paraId="38F97BCF" w14:textId="673786E4" w:rsidR="00746354" w:rsidRPr="0064622B" w:rsidRDefault="00746354" w:rsidP="004D385A">
      <w:pPr>
        <w:spacing w:line="360" w:lineRule="auto"/>
        <w:rPr>
          <w:rFonts w:cstheme="minorHAnsi"/>
          <w:sz w:val="24"/>
          <w:szCs w:val="24"/>
        </w:rPr>
      </w:pPr>
      <w:r w:rsidRPr="0064622B">
        <w:rPr>
          <w:rFonts w:cstheme="minorHAnsi"/>
          <w:sz w:val="24"/>
          <w:szCs w:val="24"/>
        </w:rPr>
        <w:t xml:space="preserve">The main argument against the consumer welfare standard is that since antitrust enforcers began using it as a guide </w:t>
      </w:r>
      <w:r w:rsidR="00C57B67" w:rsidRPr="0064622B">
        <w:rPr>
          <w:rFonts w:cstheme="minorHAnsi"/>
          <w:sz w:val="24"/>
          <w:szCs w:val="24"/>
        </w:rPr>
        <w:t>for</w:t>
      </w:r>
      <w:r w:rsidRPr="0064622B">
        <w:rPr>
          <w:rFonts w:cstheme="minorHAnsi"/>
          <w:sz w:val="24"/>
          <w:szCs w:val="24"/>
        </w:rPr>
        <w:t xml:space="preserve"> whether to file antitrust cases</w:t>
      </w:r>
      <w:r w:rsidR="007F1C91" w:rsidRPr="0064622B">
        <w:rPr>
          <w:rFonts w:cstheme="minorHAnsi"/>
          <w:sz w:val="24"/>
          <w:szCs w:val="24"/>
        </w:rPr>
        <w:t xml:space="preserve">, </w:t>
      </w:r>
      <w:r w:rsidRPr="0064622B">
        <w:rPr>
          <w:rFonts w:cstheme="minorHAnsi"/>
          <w:sz w:val="24"/>
          <w:szCs w:val="24"/>
        </w:rPr>
        <w:t xml:space="preserve">market concentration has risen </w:t>
      </w:r>
      <w:r w:rsidR="00A7414A">
        <w:rPr>
          <w:rFonts w:cstheme="minorHAnsi"/>
          <w:sz w:val="24"/>
          <w:szCs w:val="24"/>
        </w:rPr>
        <w:t>t</w:t>
      </w:r>
      <w:r w:rsidR="00D61B6A" w:rsidRPr="0064622B">
        <w:rPr>
          <w:rFonts w:cstheme="minorHAnsi"/>
          <w:sz w:val="24"/>
          <w:szCs w:val="24"/>
        </w:rPr>
        <w:t>hus</w:t>
      </w:r>
      <w:r w:rsidRPr="0064622B">
        <w:rPr>
          <w:rFonts w:cstheme="minorHAnsi"/>
          <w:sz w:val="24"/>
          <w:szCs w:val="24"/>
        </w:rPr>
        <w:t xml:space="preserve"> leading to less competition. The problem with these arguments is they are factually incorrect. Former FTC counsel and </w:t>
      </w:r>
      <w:r w:rsidR="00A474CE">
        <w:rPr>
          <w:rFonts w:cstheme="minorHAnsi"/>
          <w:sz w:val="24"/>
          <w:szCs w:val="24"/>
        </w:rPr>
        <w:t xml:space="preserve">current </w:t>
      </w:r>
      <w:r w:rsidR="00236A1E">
        <w:rPr>
          <w:rFonts w:cstheme="minorHAnsi"/>
          <w:sz w:val="24"/>
          <w:szCs w:val="24"/>
        </w:rPr>
        <w:t>s</w:t>
      </w:r>
      <w:r w:rsidRPr="0064622B">
        <w:rPr>
          <w:rFonts w:cstheme="minorHAnsi"/>
          <w:sz w:val="24"/>
          <w:szCs w:val="24"/>
        </w:rPr>
        <w:t xml:space="preserve">enior </w:t>
      </w:r>
      <w:r w:rsidR="00236A1E">
        <w:rPr>
          <w:rFonts w:cstheme="minorHAnsi"/>
          <w:sz w:val="24"/>
          <w:szCs w:val="24"/>
        </w:rPr>
        <w:t>r</w:t>
      </w:r>
      <w:r w:rsidRPr="0064622B">
        <w:rPr>
          <w:rFonts w:cstheme="minorHAnsi"/>
          <w:sz w:val="24"/>
          <w:szCs w:val="24"/>
        </w:rPr>
        <w:t xml:space="preserve">esearch </w:t>
      </w:r>
      <w:r w:rsidR="00236A1E">
        <w:rPr>
          <w:rFonts w:cstheme="minorHAnsi"/>
          <w:sz w:val="24"/>
          <w:szCs w:val="24"/>
        </w:rPr>
        <w:t>f</w:t>
      </w:r>
      <w:r w:rsidRPr="0064622B">
        <w:rPr>
          <w:rFonts w:cstheme="minorHAnsi"/>
          <w:sz w:val="24"/>
          <w:szCs w:val="24"/>
        </w:rPr>
        <w:t xml:space="preserve">ellow in </w:t>
      </w:r>
      <w:r w:rsidR="00236A1E">
        <w:rPr>
          <w:rFonts w:cstheme="minorHAnsi"/>
          <w:sz w:val="24"/>
          <w:szCs w:val="24"/>
        </w:rPr>
        <w:t>a</w:t>
      </w:r>
      <w:r w:rsidRPr="0064622B">
        <w:rPr>
          <w:rFonts w:cstheme="minorHAnsi"/>
          <w:sz w:val="24"/>
          <w:szCs w:val="24"/>
        </w:rPr>
        <w:t xml:space="preserve">ntitrust and </w:t>
      </w:r>
      <w:r w:rsidR="00236A1E">
        <w:rPr>
          <w:rFonts w:cstheme="minorHAnsi"/>
          <w:sz w:val="24"/>
          <w:szCs w:val="24"/>
        </w:rPr>
        <w:t>c</w:t>
      </w:r>
      <w:r w:rsidRPr="0064622B">
        <w:rPr>
          <w:rFonts w:cstheme="minorHAnsi"/>
          <w:sz w:val="24"/>
          <w:szCs w:val="24"/>
        </w:rPr>
        <w:t xml:space="preserve">ompetition </w:t>
      </w:r>
      <w:r w:rsidR="00236A1E">
        <w:rPr>
          <w:rFonts w:cstheme="minorHAnsi"/>
          <w:sz w:val="24"/>
          <w:szCs w:val="24"/>
        </w:rPr>
        <w:t>p</w:t>
      </w:r>
      <w:r w:rsidRPr="0064622B">
        <w:rPr>
          <w:rFonts w:cstheme="minorHAnsi"/>
          <w:sz w:val="24"/>
          <w:szCs w:val="24"/>
        </w:rPr>
        <w:t xml:space="preserve">olicy at the </w:t>
      </w:r>
      <w:proofErr w:type="spellStart"/>
      <w:r w:rsidRPr="0064622B">
        <w:rPr>
          <w:rFonts w:cstheme="minorHAnsi"/>
          <w:sz w:val="24"/>
          <w:szCs w:val="24"/>
        </w:rPr>
        <w:t>Mercatus</w:t>
      </w:r>
      <w:proofErr w:type="spellEnd"/>
      <w:r w:rsidRPr="0064622B">
        <w:rPr>
          <w:rFonts w:cstheme="minorHAnsi"/>
          <w:sz w:val="24"/>
          <w:szCs w:val="24"/>
        </w:rPr>
        <w:t xml:space="preserve"> Center, Alden Abbott</w:t>
      </w:r>
      <w:r w:rsidR="00D61B6A" w:rsidRPr="0064622B">
        <w:rPr>
          <w:rFonts w:cstheme="minorHAnsi"/>
          <w:sz w:val="24"/>
          <w:szCs w:val="24"/>
        </w:rPr>
        <w:t>,</w:t>
      </w:r>
      <w:r w:rsidRPr="0064622B">
        <w:rPr>
          <w:rFonts w:cstheme="minorHAnsi"/>
          <w:sz w:val="24"/>
          <w:szCs w:val="24"/>
        </w:rPr>
        <w:t xml:space="preserve"> examined this claim in his article “The Consumer Welfare Standard and Antitrust Enforcement: A </w:t>
      </w:r>
      <w:r w:rsidR="00B33C7F" w:rsidRPr="0064622B">
        <w:rPr>
          <w:rFonts w:cstheme="minorHAnsi"/>
          <w:sz w:val="24"/>
          <w:szCs w:val="24"/>
        </w:rPr>
        <w:t>Response”</w:t>
      </w:r>
      <w:r w:rsidR="00914CC7" w:rsidRPr="00914CC7">
        <w:rPr>
          <w:rFonts w:cstheme="minorHAnsi"/>
          <w:sz w:val="24"/>
          <w:szCs w:val="24"/>
        </w:rPr>
        <w:t xml:space="preserve"> </w:t>
      </w:r>
      <w:r w:rsidR="00914CC7" w:rsidRPr="0064622B">
        <w:rPr>
          <w:rFonts w:cstheme="minorHAnsi"/>
          <w:sz w:val="24"/>
          <w:szCs w:val="24"/>
        </w:rPr>
        <w:t xml:space="preserve">published in the </w:t>
      </w:r>
      <w:proofErr w:type="spellStart"/>
      <w:r w:rsidR="00914CC7" w:rsidRPr="0064622B">
        <w:rPr>
          <w:rFonts w:cstheme="minorHAnsi"/>
          <w:sz w:val="24"/>
          <w:szCs w:val="24"/>
        </w:rPr>
        <w:t>Promarket</w:t>
      </w:r>
      <w:proofErr w:type="spellEnd"/>
      <w:r w:rsidR="00914CC7" w:rsidRPr="0064622B">
        <w:rPr>
          <w:rFonts w:cstheme="minorHAnsi"/>
          <w:sz w:val="24"/>
          <w:szCs w:val="24"/>
        </w:rPr>
        <w:t xml:space="preserve"> blog:</w:t>
      </w:r>
      <w:r w:rsidR="00B33C7F" w:rsidRPr="0064622B">
        <w:rPr>
          <w:rStyle w:val="FootnoteReference"/>
          <w:rFonts w:cstheme="minorHAnsi"/>
          <w:sz w:val="24"/>
          <w:szCs w:val="24"/>
        </w:rPr>
        <w:footnoteReference w:id="19"/>
      </w:r>
      <w:r w:rsidR="00D61B6A" w:rsidRPr="0064622B">
        <w:rPr>
          <w:rFonts w:cstheme="minorHAnsi"/>
          <w:sz w:val="24"/>
          <w:szCs w:val="24"/>
        </w:rPr>
        <w:t xml:space="preserve"> </w:t>
      </w:r>
    </w:p>
    <w:p w14:paraId="2D250EAD" w14:textId="7B4D19C7" w:rsidR="00746354" w:rsidRPr="0064622B" w:rsidRDefault="00746354" w:rsidP="004D385A">
      <w:pPr>
        <w:pStyle w:val="NormalWeb"/>
        <w:shd w:val="clear" w:color="auto" w:fill="FFFFFF"/>
        <w:spacing w:before="0" w:beforeAutospacing="0" w:after="160" w:afterAutospacing="0" w:line="360" w:lineRule="auto"/>
        <w:ind w:left="720"/>
        <w:rPr>
          <w:rFonts w:asciiTheme="minorHAnsi" w:hAnsiTheme="minorHAnsi" w:cstheme="minorHAnsi"/>
          <w:b/>
          <w:bCs/>
          <w:i/>
          <w:iCs/>
          <w:color w:val="000000"/>
        </w:rPr>
      </w:pPr>
      <w:r w:rsidRPr="0064622B">
        <w:rPr>
          <w:rFonts w:asciiTheme="minorHAnsi" w:hAnsiTheme="minorHAnsi" w:cstheme="minorHAnsi"/>
          <w:color w:val="222222"/>
        </w:rPr>
        <w:t>Let’s examine </w:t>
      </w:r>
      <w:r w:rsidR="00011834" w:rsidRPr="0038118D">
        <w:t>some facts</w:t>
      </w:r>
      <w:r w:rsidRPr="0064622B">
        <w:rPr>
          <w:rFonts w:asciiTheme="minorHAnsi" w:hAnsiTheme="minorHAnsi" w:cstheme="minorHAnsi"/>
          <w:color w:val="222222"/>
        </w:rPr>
        <w:t> that contradict the oft-repeated</w:t>
      </w:r>
      <w:r w:rsidR="002F4E92" w:rsidRPr="0064622B">
        <w:rPr>
          <w:rFonts w:asciiTheme="minorHAnsi" w:hAnsiTheme="minorHAnsi" w:cstheme="minorHAnsi"/>
          <w:color w:val="222222"/>
        </w:rPr>
        <w:t xml:space="preserve"> </w:t>
      </w:r>
      <w:r w:rsidRPr="0064622B">
        <w:rPr>
          <w:rFonts w:asciiTheme="minorHAnsi" w:hAnsiTheme="minorHAnsi" w:cstheme="minorHAnsi"/>
          <w:color w:val="222222"/>
        </w:rPr>
        <w:t>“competition has declined” story. Based on a detailed literature review, </w:t>
      </w:r>
      <w:r w:rsidR="00011834" w:rsidRPr="0038118D">
        <w:t>Chapter 6 of the 2020 Economic Report of the President</w:t>
      </w:r>
      <w:r w:rsidRPr="0064622B">
        <w:rPr>
          <w:rFonts w:asciiTheme="minorHAnsi" w:hAnsiTheme="minorHAnsi" w:cstheme="minorHAnsi"/>
          <w:color w:val="222222"/>
        </w:rPr>
        <w:t> concluded that “the argument that the U.S. economy is suffering from insufficient competition is built on a weak empirical foundation and questionable assumptions.</w:t>
      </w:r>
    </w:p>
    <w:p w14:paraId="01B0E0F6" w14:textId="6BAB5D28" w:rsidR="00746354" w:rsidRPr="0064622B" w:rsidRDefault="00746354" w:rsidP="004D385A">
      <w:pPr>
        <w:pStyle w:val="NormalWeb"/>
        <w:shd w:val="clear" w:color="auto" w:fill="FFFFFF"/>
        <w:spacing w:before="0" w:beforeAutospacing="0" w:after="160" w:afterAutospacing="0" w:line="360" w:lineRule="auto"/>
        <w:rPr>
          <w:rFonts w:asciiTheme="minorHAnsi" w:hAnsiTheme="minorHAnsi" w:cstheme="minorHAnsi"/>
          <w:color w:val="222222"/>
        </w:rPr>
      </w:pPr>
      <w:r w:rsidRPr="0064622B">
        <w:rPr>
          <w:rFonts w:asciiTheme="minorHAnsi" w:hAnsiTheme="minorHAnsi" w:cstheme="minorHAnsi"/>
          <w:color w:val="222222"/>
        </w:rPr>
        <w:lastRenderedPageBreak/>
        <w:t>Furthermore, </w:t>
      </w:r>
      <w:r w:rsidR="00011834" w:rsidRPr="0038118D">
        <w:t>recent quantitative research</w:t>
      </w:r>
      <w:r w:rsidRPr="0064622B">
        <w:rPr>
          <w:rFonts w:asciiTheme="minorHAnsi" w:hAnsiTheme="minorHAnsi" w:cstheme="minorHAnsi"/>
          <w:color w:val="222222"/>
        </w:rPr>
        <w:t> by Robert Kulick (of NERA Economic Consulting and the American Enterprise Institute) is consistent with and supplements the 2020 Economic Report’s findings. </w:t>
      </w:r>
      <w:r w:rsidR="00011834" w:rsidRPr="0038118D">
        <w:t>In presenting his research</w:t>
      </w:r>
      <w:r w:rsidRPr="0064622B">
        <w:rPr>
          <w:rFonts w:asciiTheme="minorHAnsi" w:hAnsiTheme="minorHAnsi" w:cstheme="minorHAnsi"/>
          <w:color w:val="222222"/>
        </w:rPr>
        <w:t> at the </w:t>
      </w:r>
      <w:r w:rsidR="00011834" w:rsidRPr="0038118D">
        <w:t xml:space="preserve">January 26 </w:t>
      </w:r>
      <w:proofErr w:type="spellStart"/>
      <w:r w:rsidR="00011834" w:rsidRPr="0038118D">
        <w:t>Mercatus</w:t>
      </w:r>
      <w:proofErr w:type="spellEnd"/>
      <w:r w:rsidR="00011834" w:rsidRPr="0038118D">
        <w:t xml:space="preserve"> Antitrust Forum</w:t>
      </w:r>
      <w:r w:rsidRPr="0064622B">
        <w:rPr>
          <w:rFonts w:asciiTheme="minorHAnsi" w:hAnsiTheme="minorHAnsi" w:cstheme="minorHAnsi"/>
          <w:color w:val="222222"/>
        </w:rPr>
        <w:t>, Kulick stressed that “[t]here is no general trend towards increasing industrial concentration in the U.S. economy from 2002 to 2017.” In particular, industrial concentration has been declining since 2007; the Herfindahl-Hirschman Index (HHI) has declined significantly in manufacturing since 2002; and the Four-firm concentration ratio economy-wide in 2017 was approximately the same as in 2002. Even in industries where concentration may have risen, Kulick writes, “the evidence does not support claims that concentration is persistent or harmful.” In that regard, Kulick’s research finds that higher-concentration industries tend to become less concentrated while lower-concentration industries tend to become more concentrated over time; increases in industrial concentration are associated with economic growth and job creation particularly for high growth industries; and rising industrial concentration may be driven by increasing market competition.</w:t>
      </w:r>
    </w:p>
    <w:p w14:paraId="79B2F63C" w14:textId="70266372" w:rsidR="00746354" w:rsidRPr="0064622B" w:rsidRDefault="00746354" w:rsidP="004D385A">
      <w:pPr>
        <w:pStyle w:val="NormalWeb"/>
        <w:shd w:val="clear" w:color="auto" w:fill="FFFFFF"/>
        <w:spacing w:before="0" w:beforeAutospacing="0" w:after="160" w:afterAutospacing="0" w:line="360" w:lineRule="auto"/>
        <w:rPr>
          <w:rFonts w:asciiTheme="minorHAnsi" w:hAnsiTheme="minorHAnsi" w:cstheme="minorHAnsi"/>
          <w:color w:val="222222"/>
        </w:rPr>
      </w:pPr>
      <w:r w:rsidRPr="0064622B">
        <w:rPr>
          <w:rFonts w:asciiTheme="minorHAnsi" w:hAnsiTheme="minorHAnsi" w:cstheme="minorHAnsi"/>
          <w:color w:val="222222"/>
        </w:rPr>
        <w:t>Abbott also demolishes the claim that the rise of the consumer welfare standard has meant a decline in enforcement of antitrust laws</w:t>
      </w:r>
      <w:r w:rsidR="00D87BFB" w:rsidRPr="0064622B">
        <w:rPr>
          <w:rFonts w:asciiTheme="minorHAnsi" w:hAnsiTheme="minorHAnsi" w:cstheme="minorHAnsi"/>
          <w:color w:val="222222"/>
        </w:rPr>
        <w:t>:</w:t>
      </w:r>
      <w:r w:rsidR="00B33C7F" w:rsidRPr="0064622B">
        <w:rPr>
          <w:rStyle w:val="FootnoteReference"/>
          <w:rFonts w:asciiTheme="minorHAnsi" w:hAnsiTheme="minorHAnsi" w:cstheme="minorHAnsi"/>
          <w:color w:val="222222"/>
        </w:rPr>
        <w:footnoteReference w:id="20"/>
      </w:r>
    </w:p>
    <w:p w14:paraId="619D56D4" w14:textId="737323DF" w:rsidR="00746354" w:rsidRPr="0064622B" w:rsidRDefault="00746354" w:rsidP="004D385A">
      <w:pPr>
        <w:pStyle w:val="NormalWeb"/>
        <w:shd w:val="clear" w:color="auto" w:fill="FFFFFF"/>
        <w:tabs>
          <w:tab w:val="left" w:pos="9180"/>
        </w:tabs>
        <w:spacing w:before="0" w:beforeAutospacing="0" w:after="160" w:afterAutospacing="0" w:line="360" w:lineRule="auto"/>
        <w:ind w:left="720"/>
        <w:rPr>
          <w:rFonts w:asciiTheme="minorHAnsi" w:hAnsiTheme="minorHAnsi" w:cstheme="minorHAnsi"/>
          <w:color w:val="222222"/>
        </w:rPr>
      </w:pPr>
      <w:r w:rsidRPr="0064622B">
        <w:rPr>
          <w:rFonts w:asciiTheme="minorHAnsi" w:hAnsiTheme="minorHAnsi" w:cstheme="minorHAnsi"/>
          <w:color w:val="222222"/>
        </w:rPr>
        <w:t>In recent decades the antitrust enforcement agencies, </w:t>
      </w:r>
      <w:r w:rsidR="0086719A" w:rsidRPr="0038118D">
        <w:t>the FTC</w:t>
      </w:r>
      <w:r w:rsidRPr="0064622B">
        <w:rPr>
          <w:rFonts w:asciiTheme="minorHAnsi" w:hAnsiTheme="minorHAnsi" w:cstheme="minorHAnsi"/>
          <w:color w:val="222222"/>
        </w:rPr>
        <w:t>, and the </w:t>
      </w:r>
      <w:r w:rsidR="0086719A" w:rsidRPr="0038118D">
        <w:t>Justice Department</w:t>
      </w:r>
      <w:r w:rsidRPr="0064622B">
        <w:rPr>
          <w:rFonts w:asciiTheme="minorHAnsi" w:hAnsiTheme="minorHAnsi" w:cstheme="minorHAnsi"/>
          <w:color w:val="222222"/>
        </w:rPr>
        <w:t>, have enjoyed a good deal of success in challenging mergers and other forms of anticompetitive behavior in courts and through effective settlements by consent agreement. For example, the FTC won every litigated hospital merger case in the 21</w:t>
      </w:r>
      <w:r w:rsidRPr="0064622B">
        <w:rPr>
          <w:rFonts w:asciiTheme="minorHAnsi" w:hAnsiTheme="minorHAnsi" w:cstheme="minorHAnsi"/>
          <w:color w:val="222222"/>
          <w:vertAlign w:val="superscript"/>
        </w:rPr>
        <w:t>st</w:t>
      </w:r>
      <w:r w:rsidRPr="0064622B">
        <w:rPr>
          <w:rFonts w:asciiTheme="minorHAnsi" w:hAnsiTheme="minorHAnsi" w:cstheme="minorHAnsi"/>
          <w:color w:val="222222"/>
        </w:rPr>
        <w:t> century, </w:t>
      </w:r>
      <w:r w:rsidR="0086719A" w:rsidRPr="0038118D">
        <w:t>until finally losing a challenge to a Philadelphia-area merger in 2021</w:t>
      </w:r>
      <w:r w:rsidRPr="0064622B">
        <w:rPr>
          <w:rFonts w:asciiTheme="minorHAnsi" w:hAnsiTheme="minorHAnsi" w:cstheme="minorHAnsi"/>
          <w:color w:val="222222"/>
        </w:rPr>
        <w:t xml:space="preserve">. </w:t>
      </w:r>
      <w:proofErr w:type="gramStart"/>
      <w:r w:rsidRPr="0064622B">
        <w:rPr>
          <w:rFonts w:asciiTheme="minorHAnsi" w:hAnsiTheme="minorHAnsi" w:cstheme="minorHAnsi"/>
          <w:color w:val="222222"/>
        </w:rPr>
        <w:t>With regard to</w:t>
      </w:r>
      <w:proofErr w:type="gramEnd"/>
      <w:r w:rsidRPr="0064622B">
        <w:rPr>
          <w:rFonts w:asciiTheme="minorHAnsi" w:hAnsiTheme="minorHAnsi" w:cstheme="minorHAnsi"/>
          <w:color w:val="222222"/>
        </w:rPr>
        <w:t xml:space="preserve"> consent agreements, </w:t>
      </w:r>
      <w:r w:rsidR="0086719A" w:rsidRPr="0038118D">
        <w:t>between 1994 and 2020, the FTC challenged sixty-seven pharmaceutical mergers</w:t>
      </w:r>
      <w:r w:rsidRPr="0064622B">
        <w:rPr>
          <w:rFonts w:asciiTheme="minorHAnsi" w:hAnsiTheme="minorHAnsi" w:cstheme="minorHAnsi"/>
          <w:color w:val="222222"/>
        </w:rPr>
        <w:t>, deciding in all but one instance to settle subject to divestitures. Evidence shows that these divestitures have been successful in maintaining pre-merger levels of competition in the market</w:t>
      </w:r>
      <w:r w:rsidR="0086719A">
        <w:rPr>
          <w:rFonts w:asciiTheme="minorHAnsi" w:hAnsiTheme="minorHAnsi" w:cstheme="minorHAnsi"/>
          <w:color w:val="222222"/>
        </w:rPr>
        <w:t>.</w:t>
      </w:r>
      <w:r w:rsidRPr="0064622B">
        <w:rPr>
          <w:rFonts w:asciiTheme="minorHAnsi" w:hAnsiTheme="minorHAnsi" w:cstheme="minorHAnsi"/>
          <w:color w:val="222222"/>
        </w:rPr>
        <w:t xml:space="preserve"> </w:t>
      </w:r>
    </w:p>
    <w:p w14:paraId="5046DCB0" w14:textId="1F1A1B5E" w:rsidR="00746354" w:rsidRPr="0064622B" w:rsidRDefault="00746354" w:rsidP="004D385A">
      <w:pPr>
        <w:pStyle w:val="NormalWeb"/>
        <w:shd w:val="clear" w:color="auto" w:fill="FFFFFF"/>
        <w:spacing w:before="0" w:beforeAutospacing="0" w:after="160" w:afterAutospacing="0" w:line="360" w:lineRule="auto"/>
        <w:rPr>
          <w:rFonts w:asciiTheme="minorHAnsi" w:hAnsiTheme="minorHAnsi" w:cstheme="minorHAnsi"/>
        </w:rPr>
      </w:pPr>
      <w:r w:rsidRPr="0064622B">
        <w:rPr>
          <w:rFonts w:asciiTheme="minorHAnsi" w:hAnsiTheme="minorHAnsi" w:cstheme="minorHAnsi"/>
        </w:rPr>
        <w:lastRenderedPageBreak/>
        <w:t>The real reason neo-</w:t>
      </w:r>
      <w:proofErr w:type="spellStart"/>
      <w:r w:rsidRPr="0064622B">
        <w:rPr>
          <w:rFonts w:asciiTheme="minorHAnsi" w:hAnsiTheme="minorHAnsi" w:cstheme="minorHAnsi"/>
        </w:rPr>
        <w:t>Brandeisians</w:t>
      </w:r>
      <w:proofErr w:type="spellEnd"/>
      <w:r w:rsidRPr="0064622B">
        <w:rPr>
          <w:rFonts w:asciiTheme="minorHAnsi" w:hAnsiTheme="minorHAnsi" w:cstheme="minorHAnsi"/>
        </w:rPr>
        <w:t xml:space="preserve"> dislike the consumer welfare standard is it stops them from using antitrust as a vehicle to punish business for engaging in conduct—like becoming too big</w:t>
      </w:r>
      <w:r w:rsidR="003F3835" w:rsidRPr="0064622B">
        <w:rPr>
          <w:rFonts w:asciiTheme="minorHAnsi" w:hAnsiTheme="minorHAnsi" w:cstheme="minorHAnsi"/>
        </w:rPr>
        <w:t>—</w:t>
      </w:r>
      <w:r w:rsidRPr="0064622B">
        <w:rPr>
          <w:rFonts w:asciiTheme="minorHAnsi" w:hAnsiTheme="minorHAnsi" w:cstheme="minorHAnsi"/>
        </w:rPr>
        <w:t xml:space="preserve">that violate their subjective notions of fairness. In contrast, </w:t>
      </w:r>
      <w:r w:rsidR="00D87BFB" w:rsidRPr="0064622B">
        <w:rPr>
          <w:rFonts w:asciiTheme="minorHAnsi" w:hAnsiTheme="minorHAnsi" w:cstheme="minorHAnsi"/>
        </w:rPr>
        <w:t xml:space="preserve">Chair </w:t>
      </w:r>
      <w:r w:rsidRPr="0064622B">
        <w:rPr>
          <w:rFonts w:asciiTheme="minorHAnsi" w:hAnsiTheme="minorHAnsi" w:cstheme="minorHAnsi"/>
        </w:rPr>
        <w:t xml:space="preserve">Khan’s “holistic” approach empowers the government to harass businesses that are efficiently serving consumers. </w:t>
      </w:r>
    </w:p>
    <w:p w14:paraId="498D361C" w14:textId="4798A25D" w:rsidR="00746354" w:rsidRPr="0064622B" w:rsidRDefault="00746354" w:rsidP="004D385A">
      <w:pPr>
        <w:spacing w:line="360" w:lineRule="auto"/>
        <w:rPr>
          <w:rFonts w:cstheme="minorHAnsi"/>
          <w:b/>
          <w:bCs/>
          <w:sz w:val="24"/>
          <w:szCs w:val="24"/>
        </w:rPr>
      </w:pPr>
      <w:r w:rsidRPr="0064622B">
        <w:rPr>
          <w:rFonts w:cstheme="minorHAnsi"/>
          <w:b/>
          <w:bCs/>
          <w:sz w:val="24"/>
          <w:szCs w:val="24"/>
        </w:rPr>
        <w:t>IV.</w:t>
      </w:r>
      <w:r w:rsidR="002F4E92" w:rsidRPr="0064622B">
        <w:rPr>
          <w:rFonts w:cstheme="minorHAnsi"/>
          <w:b/>
          <w:bCs/>
          <w:sz w:val="24"/>
          <w:szCs w:val="24"/>
        </w:rPr>
        <w:t xml:space="preserve"> </w:t>
      </w:r>
      <w:r w:rsidR="00B2122B" w:rsidRPr="0064622B">
        <w:rPr>
          <w:rFonts w:cstheme="minorHAnsi"/>
          <w:b/>
          <w:bCs/>
          <w:sz w:val="24"/>
          <w:szCs w:val="24"/>
        </w:rPr>
        <w:tab/>
      </w:r>
      <w:r w:rsidRPr="0064622B">
        <w:rPr>
          <w:rFonts w:cstheme="minorHAnsi"/>
          <w:b/>
          <w:bCs/>
          <w:sz w:val="24"/>
          <w:szCs w:val="24"/>
        </w:rPr>
        <w:t xml:space="preserve">Is the Consumer Welfare Standard Fair? </w:t>
      </w:r>
    </w:p>
    <w:p w14:paraId="4961B8C6" w14:textId="4599B2FC" w:rsidR="00746354" w:rsidRPr="0064622B" w:rsidRDefault="00746354" w:rsidP="004D385A">
      <w:pPr>
        <w:spacing w:line="360" w:lineRule="auto"/>
        <w:rPr>
          <w:rFonts w:cstheme="minorHAnsi"/>
          <w:sz w:val="24"/>
          <w:szCs w:val="24"/>
        </w:rPr>
      </w:pPr>
      <w:r w:rsidRPr="0064622B">
        <w:rPr>
          <w:rFonts w:cstheme="minorHAnsi"/>
          <w:sz w:val="24"/>
          <w:szCs w:val="24"/>
        </w:rPr>
        <w:t>Neither the statute creating the FTC or the agency’s policy statements define what is, and is not, “fair.”</w:t>
      </w:r>
      <w:r w:rsidR="002F4E92" w:rsidRPr="0064622B">
        <w:rPr>
          <w:rFonts w:cstheme="minorHAnsi"/>
          <w:sz w:val="24"/>
          <w:szCs w:val="24"/>
        </w:rPr>
        <w:t xml:space="preserve"> </w:t>
      </w:r>
      <w:r w:rsidRPr="0064622B">
        <w:rPr>
          <w:rFonts w:cstheme="minorHAnsi"/>
          <w:sz w:val="24"/>
          <w:szCs w:val="24"/>
        </w:rPr>
        <w:t xml:space="preserve">The reason is not just that a hard and fast definition of fairness would limit the FTC’s ability to use fairness standard to reshape the economy, but because fairness is a subjective concept. Therefore, what conduct is, and is not, unfair depends on how regulators </w:t>
      </w:r>
      <w:r w:rsidR="001C5522" w:rsidRPr="0064622B">
        <w:rPr>
          <w:rFonts w:cstheme="minorHAnsi"/>
          <w:sz w:val="24"/>
          <w:szCs w:val="24"/>
        </w:rPr>
        <w:t xml:space="preserve">or Congress </w:t>
      </w:r>
      <w:r w:rsidRPr="0064622B">
        <w:rPr>
          <w:rFonts w:cstheme="minorHAnsi"/>
          <w:sz w:val="24"/>
          <w:szCs w:val="24"/>
        </w:rPr>
        <w:t>define “fairness.”</w:t>
      </w:r>
    </w:p>
    <w:p w14:paraId="44FA4D49" w14:textId="21F1CB14" w:rsidR="00746354" w:rsidRPr="0064622B" w:rsidRDefault="00746354" w:rsidP="004D385A">
      <w:pPr>
        <w:spacing w:line="360" w:lineRule="auto"/>
        <w:rPr>
          <w:rFonts w:cstheme="minorHAnsi"/>
          <w:sz w:val="24"/>
          <w:szCs w:val="24"/>
        </w:rPr>
      </w:pPr>
      <w:r w:rsidRPr="0064622B">
        <w:rPr>
          <w:rFonts w:cstheme="minorHAnsi"/>
          <w:sz w:val="24"/>
          <w:szCs w:val="24"/>
        </w:rPr>
        <w:t>Khan and her allies are unapologetically progressive. Like most progressives they tend to view an</w:t>
      </w:r>
      <w:r w:rsidR="000D42BD" w:rsidRPr="0064622B">
        <w:rPr>
          <w:rFonts w:cstheme="minorHAnsi"/>
          <w:sz w:val="24"/>
          <w:szCs w:val="24"/>
        </w:rPr>
        <w:t>y</w:t>
      </w:r>
      <w:r w:rsidRPr="0064622B">
        <w:rPr>
          <w:rFonts w:cstheme="minorHAnsi"/>
          <w:sz w:val="24"/>
          <w:szCs w:val="24"/>
        </w:rPr>
        <w:t xml:space="preserve"> market </w:t>
      </w:r>
      <w:r w:rsidR="000D42BD" w:rsidRPr="0064622B">
        <w:rPr>
          <w:rFonts w:cstheme="minorHAnsi"/>
          <w:sz w:val="24"/>
          <w:szCs w:val="24"/>
        </w:rPr>
        <w:t xml:space="preserve">not regulated </w:t>
      </w:r>
      <w:r w:rsidR="00D92147" w:rsidRPr="0064622B">
        <w:rPr>
          <w:rFonts w:cstheme="minorHAnsi"/>
          <w:sz w:val="24"/>
          <w:szCs w:val="24"/>
        </w:rPr>
        <w:t xml:space="preserve">by </w:t>
      </w:r>
      <w:r w:rsidR="000D42BD" w:rsidRPr="0064622B">
        <w:rPr>
          <w:rFonts w:cstheme="minorHAnsi"/>
          <w:sz w:val="24"/>
          <w:szCs w:val="24"/>
        </w:rPr>
        <w:t xml:space="preserve">themselves </w:t>
      </w:r>
      <w:r w:rsidRPr="0064622B">
        <w:rPr>
          <w:rFonts w:cstheme="minorHAnsi"/>
          <w:sz w:val="24"/>
          <w:szCs w:val="24"/>
        </w:rPr>
        <w:t>as inherently unfair.</w:t>
      </w:r>
      <w:r w:rsidR="002F4E92" w:rsidRPr="0064622B">
        <w:rPr>
          <w:rFonts w:cstheme="minorHAnsi"/>
          <w:sz w:val="24"/>
          <w:szCs w:val="24"/>
        </w:rPr>
        <w:t xml:space="preserve"> </w:t>
      </w:r>
      <w:r w:rsidRPr="0064622B">
        <w:rPr>
          <w:rFonts w:cstheme="minorHAnsi"/>
          <w:sz w:val="24"/>
          <w:szCs w:val="24"/>
        </w:rPr>
        <w:t>Those looking for proof of Khan’s extreme leftism need look no further than her 2021 speech at the left-wing Law and Policy Conference in 2021</w:t>
      </w:r>
      <w:r w:rsidR="008718E5" w:rsidRPr="0064622B">
        <w:rPr>
          <w:rFonts w:cstheme="minorHAnsi"/>
          <w:sz w:val="24"/>
          <w:szCs w:val="24"/>
        </w:rPr>
        <w:t>.</w:t>
      </w:r>
      <w:r w:rsidRPr="0064622B">
        <w:rPr>
          <w:rStyle w:val="FootnoteReference"/>
          <w:rFonts w:cstheme="minorHAnsi"/>
          <w:sz w:val="24"/>
          <w:szCs w:val="24"/>
        </w:rPr>
        <w:footnoteReference w:id="21"/>
      </w:r>
      <w:r w:rsidR="002F4E92" w:rsidRPr="0064622B">
        <w:rPr>
          <w:rFonts w:cstheme="minorHAnsi"/>
          <w:sz w:val="24"/>
          <w:szCs w:val="24"/>
        </w:rPr>
        <w:t xml:space="preserve"> </w:t>
      </w:r>
      <w:r w:rsidRPr="0064622B">
        <w:rPr>
          <w:rFonts w:cstheme="minorHAnsi"/>
          <w:sz w:val="24"/>
          <w:szCs w:val="24"/>
        </w:rPr>
        <w:t>Khan proclaimed that the free market was dead and lamented the failure of the US government to intervene more in the economy to shape economic outcomes.</w:t>
      </w:r>
      <w:r w:rsidRPr="0064622B">
        <w:rPr>
          <w:rStyle w:val="FootnoteReference"/>
          <w:rFonts w:cstheme="minorHAnsi"/>
          <w:sz w:val="24"/>
          <w:szCs w:val="24"/>
        </w:rPr>
        <w:footnoteReference w:id="22"/>
      </w:r>
      <w:r w:rsidR="002F4E92" w:rsidRPr="0064622B">
        <w:rPr>
          <w:rFonts w:cstheme="minorHAnsi"/>
          <w:sz w:val="24"/>
          <w:szCs w:val="24"/>
        </w:rPr>
        <w:t xml:space="preserve"> </w:t>
      </w:r>
      <w:r w:rsidRPr="0064622B">
        <w:rPr>
          <w:rFonts w:cstheme="minorHAnsi"/>
          <w:sz w:val="24"/>
          <w:szCs w:val="24"/>
        </w:rPr>
        <w:t xml:space="preserve">These comments are not just to the left of </w:t>
      </w:r>
      <w:r w:rsidR="00234B4F" w:rsidRPr="0064622B">
        <w:rPr>
          <w:rFonts w:cstheme="minorHAnsi"/>
          <w:sz w:val="24"/>
          <w:szCs w:val="24"/>
        </w:rPr>
        <w:t xml:space="preserve">Sen. </w:t>
      </w:r>
      <w:r w:rsidRPr="0064622B">
        <w:rPr>
          <w:rFonts w:cstheme="minorHAnsi"/>
          <w:sz w:val="24"/>
          <w:szCs w:val="24"/>
        </w:rPr>
        <w:t>Bernie Sanders</w:t>
      </w:r>
      <w:r w:rsidR="009719EF">
        <w:rPr>
          <w:rFonts w:cstheme="minorHAnsi"/>
          <w:sz w:val="24"/>
          <w:szCs w:val="24"/>
        </w:rPr>
        <w:t xml:space="preserve"> </w:t>
      </w:r>
      <w:r w:rsidRPr="0064622B">
        <w:rPr>
          <w:rFonts w:cstheme="minorHAnsi"/>
          <w:sz w:val="24"/>
          <w:szCs w:val="24"/>
        </w:rPr>
        <w:t xml:space="preserve">but suggest Khan is unaware of the suffering inflicted on people by governments who dramatically intervene to shape economic outcomes. </w:t>
      </w:r>
    </w:p>
    <w:p w14:paraId="5173BCB0" w14:textId="392762EC" w:rsidR="00746354" w:rsidRPr="0064622B" w:rsidRDefault="00746354" w:rsidP="004D385A">
      <w:pPr>
        <w:spacing w:line="360" w:lineRule="auto"/>
        <w:rPr>
          <w:rFonts w:cstheme="minorHAnsi"/>
          <w:sz w:val="24"/>
          <w:szCs w:val="24"/>
        </w:rPr>
      </w:pPr>
      <w:r w:rsidRPr="0064622B">
        <w:rPr>
          <w:rFonts w:cstheme="minorHAnsi"/>
          <w:sz w:val="24"/>
          <w:szCs w:val="24"/>
        </w:rPr>
        <w:t xml:space="preserve">Contrary to the progressive definition of fairness is the definition of fairness as defined by philosophical supporters of the </w:t>
      </w:r>
      <w:proofErr w:type="gramStart"/>
      <w:r w:rsidRPr="0064622B">
        <w:rPr>
          <w:rFonts w:cstheme="minorHAnsi"/>
          <w:sz w:val="24"/>
          <w:szCs w:val="24"/>
        </w:rPr>
        <w:t>free-market</w:t>
      </w:r>
      <w:proofErr w:type="gramEnd"/>
      <w:r w:rsidR="00E07E38">
        <w:rPr>
          <w:rFonts w:cstheme="minorHAnsi"/>
          <w:sz w:val="24"/>
          <w:szCs w:val="24"/>
        </w:rPr>
        <w:t>,</w:t>
      </w:r>
      <w:r w:rsidRPr="0064622B">
        <w:rPr>
          <w:rFonts w:cstheme="minorHAnsi"/>
          <w:sz w:val="24"/>
          <w:szCs w:val="24"/>
        </w:rPr>
        <w:t xml:space="preserve"> thus rooted in classical (as opposed to modern) liberalism. Their definition of fairness is a system where everyone has the freedom to start and grow a business by offering goods and services that best meet the needs and wants of consumers</w:t>
      </w:r>
      <w:r w:rsidR="00154DFA">
        <w:rPr>
          <w:rFonts w:cstheme="minorHAnsi"/>
          <w:sz w:val="24"/>
          <w:szCs w:val="24"/>
        </w:rPr>
        <w:t xml:space="preserve">. </w:t>
      </w:r>
      <w:r w:rsidRPr="0064622B">
        <w:rPr>
          <w:rFonts w:cstheme="minorHAnsi"/>
          <w:sz w:val="24"/>
          <w:szCs w:val="24"/>
        </w:rPr>
        <w:t xml:space="preserve">Supporters of the marketplace think it is unfair for government to punish businesses by limiting growth or subjecting them to governmental control. Further, such interventions are unfair to consumers who have chosen to spend their money with the </w:t>
      </w:r>
      <w:r w:rsidRPr="0064622B">
        <w:rPr>
          <w:rFonts w:cstheme="minorHAnsi"/>
          <w:sz w:val="24"/>
          <w:szCs w:val="24"/>
        </w:rPr>
        <w:lastRenderedPageBreak/>
        <w:t xml:space="preserve">business, the company’s workers, and any parties affected by the government’s interference with the market. </w:t>
      </w:r>
    </w:p>
    <w:p w14:paraId="601A9D9A" w14:textId="28779E14" w:rsidR="00746354" w:rsidRPr="0064622B" w:rsidRDefault="00746354" w:rsidP="004D385A">
      <w:pPr>
        <w:spacing w:line="360" w:lineRule="auto"/>
        <w:rPr>
          <w:rFonts w:cstheme="minorHAnsi"/>
          <w:b/>
          <w:bCs/>
          <w:sz w:val="24"/>
          <w:szCs w:val="24"/>
        </w:rPr>
      </w:pPr>
      <w:r w:rsidRPr="0064622B">
        <w:rPr>
          <w:rFonts w:cstheme="minorHAnsi"/>
          <w:b/>
          <w:bCs/>
          <w:sz w:val="24"/>
          <w:szCs w:val="24"/>
        </w:rPr>
        <w:t>V. A Free-market Fairness Agenda for Antitrust</w:t>
      </w:r>
    </w:p>
    <w:p w14:paraId="781D0BD6" w14:textId="3BF2B554" w:rsidR="00746354" w:rsidRPr="0064622B" w:rsidRDefault="007931EC" w:rsidP="004D385A">
      <w:pPr>
        <w:spacing w:line="360" w:lineRule="auto"/>
        <w:rPr>
          <w:rFonts w:cstheme="minorHAnsi"/>
          <w:sz w:val="24"/>
          <w:szCs w:val="24"/>
        </w:rPr>
      </w:pPr>
      <w:r>
        <w:rPr>
          <w:rFonts w:cstheme="minorHAnsi"/>
          <w:sz w:val="24"/>
          <w:szCs w:val="24"/>
        </w:rPr>
        <w:t>Khan’s suggestion</w:t>
      </w:r>
      <w:r w:rsidR="00746354" w:rsidRPr="0064622B">
        <w:rPr>
          <w:rFonts w:cstheme="minorHAnsi"/>
          <w:sz w:val="24"/>
          <w:szCs w:val="24"/>
        </w:rPr>
        <w:t xml:space="preserve"> that the FTC</w:t>
      </w:r>
      <w:r>
        <w:rPr>
          <w:rFonts w:cstheme="minorHAnsi"/>
          <w:sz w:val="24"/>
          <w:szCs w:val="24"/>
        </w:rPr>
        <w:t>’s</w:t>
      </w:r>
      <w:r w:rsidR="00746354" w:rsidRPr="0064622B">
        <w:rPr>
          <w:rFonts w:cstheme="minorHAnsi"/>
          <w:sz w:val="24"/>
          <w:szCs w:val="24"/>
        </w:rPr>
        <w:t xml:space="preserve"> mandate to ensure </w:t>
      </w:r>
      <w:r>
        <w:rPr>
          <w:rFonts w:cstheme="minorHAnsi"/>
          <w:sz w:val="24"/>
          <w:szCs w:val="24"/>
        </w:rPr>
        <w:t>the neo-</w:t>
      </w:r>
      <w:proofErr w:type="spellStart"/>
      <w:r>
        <w:rPr>
          <w:rFonts w:cstheme="minorHAnsi"/>
          <w:sz w:val="24"/>
          <w:szCs w:val="24"/>
        </w:rPr>
        <w:t>Brandeisian</w:t>
      </w:r>
      <w:proofErr w:type="spellEnd"/>
      <w:r>
        <w:rPr>
          <w:rFonts w:cstheme="minorHAnsi"/>
          <w:sz w:val="24"/>
          <w:szCs w:val="24"/>
        </w:rPr>
        <w:t xml:space="preserve"> version of </w:t>
      </w:r>
      <w:r w:rsidR="00746354" w:rsidRPr="0064622B">
        <w:rPr>
          <w:rFonts w:cstheme="minorHAnsi"/>
          <w:sz w:val="24"/>
          <w:szCs w:val="24"/>
        </w:rPr>
        <w:t xml:space="preserve">fairness in competition is </w:t>
      </w:r>
      <w:r>
        <w:rPr>
          <w:rFonts w:cstheme="minorHAnsi"/>
          <w:sz w:val="24"/>
          <w:szCs w:val="24"/>
        </w:rPr>
        <w:t>in</w:t>
      </w:r>
      <w:r w:rsidR="00746354" w:rsidRPr="0064622B">
        <w:rPr>
          <w:rFonts w:cstheme="minorHAnsi"/>
          <w:sz w:val="24"/>
          <w:szCs w:val="24"/>
        </w:rPr>
        <w:t>compatible with a consumer welfare standard</w:t>
      </w:r>
      <w:r>
        <w:rPr>
          <w:rFonts w:cstheme="minorHAnsi"/>
          <w:sz w:val="24"/>
          <w:szCs w:val="24"/>
        </w:rPr>
        <w:t>. In fact, the very idea of the neo-</w:t>
      </w:r>
      <w:proofErr w:type="spellStart"/>
      <w:r>
        <w:rPr>
          <w:rFonts w:cstheme="minorHAnsi"/>
          <w:sz w:val="24"/>
          <w:szCs w:val="24"/>
        </w:rPr>
        <w:t>Brandeisians</w:t>
      </w:r>
      <w:proofErr w:type="spellEnd"/>
      <w:r w:rsidR="00746354" w:rsidRPr="0064622B">
        <w:rPr>
          <w:rFonts w:cstheme="minorHAnsi"/>
          <w:sz w:val="24"/>
          <w:szCs w:val="24"/>
        </w:rPr>
        <w:t xml:space="preserve"> is to redirect the antitrust policy away </w:t>
      </w:r>
      <w:r>
        <w:rPr>
          <w:rFonts w:cstheme="minorHAnsi"/>
          <w:sz w:val="24"/>
          <w:szCs w:val="24"/>
        </w:rPr>
        <w:t>from ensuring a fair market for consumers and instead</w:t>
      </w:r>
      <w:r w:rsidR="00746354" w:rsidRPr="0064622B">
        <w:rPr>
          <w:rFonts w:cstheme="minorHAnsi"/>
          <w:sz w:val="24"/>
          <w:szCs w:val="24"/>
        </w:rPr>
        <w:t xml:space="preserve"> trying to ensure the marketplace mirrors an abstract </w:t>
      </w:r>
      <w:r>
        <w:rPr>
          <w:rFonts w:cstheme="minorHAnsi"/>
          <w:sz w:val="24"/>
          <w:szCs w:val="24"/>
        </w:rPr>
        <w:t xml:space="preserve">and political motivated </w:t>
      </w:r>
      <w:r w:rsidR="00746354" w:rsidRPr="0064622B">
        <w:rPr>
          <w:rFonts w:cstheme="minorHAnsi"/>
          <w:sz w:val="24"/>
          <w:szCs w:val="24"/>
        </w:rPr>
        <w:t>idea of competition.</w:t>
      </w:r>
      <w:r w:rsidR="002F4E92" w:rsidRPr="0064622B">
        <w:rPr>
          <w:rFonts w:cstheme="minorHAnsi"/>
          <w:sz w:val="24"/>
          <w:szCs w:val="24"/>
        </w:rPr>
        <w:t xml:space="preserve"> </w:t>
      </w:r>
      <w:r>
        <w:rPr>
          <w:rFonts w:cstheme="minorHAnsi"/>
          <w:sz w:val="24"/>
          <w:szCs w:val="24"/>
        </w:rPr>
        <w:t>Instead, the FTC’s “</w:t>
      </w:r>
      <w:r w:rsidR="00656F39">
        <w:rPr>
          <w:rFonts w:cstheme="minorHAnsi"/>
          <w:sz w:val="24"/>
          <w:szCs w:val="24"/>
        </w:rPr>
        <w:t>f</w:t>
      </w:r>
      <w:r>
        <w:rPr>
          <w:rFonts w:cstheme="minorHAnsi"/>
          <w:sz w:val="24"/>
          <w:szCs w:val="24"/>
        </w:rPr>
        <w:t>airness” mandate should</w:t>
      </w:r>
      <w:r w:rsidR="00746354" w:rsidRPr="0064622B">
        <w:rPr>
          <w:rFonts w:cstheme="minorHAnsi"/>
          <w:sz w:val="24"/>
          <w:szCs w:val="24"/>
        </w:rPr>
        <w:t xml:space="preserve"> </w:t>
      </w:r>
      <w:r>
        <w:rPr>
          <w:rFonts w:cstheme="minorHAnsi"/>
          <w:sz w:val="24"/>
          <w:szCs w:val="24"/>
        </w:rPr>
        <w:t xml:space="preserve">be used to </w:t>
      </w:r>
      <w:r w:rsidR="00746354" w:rsidRPr="0064622B">
        <w:rPr>
          <w:rFonts w:cstheme="minorHAnsi"/>
          <w:sz w:val="24"/>
          <w:szCs w:val="24"/>
        </w:rPr>
        <w:t>ensure all</w:t>
      </w:r>
      <w:r w:rsidR="002F4E92" w:rsidRPr="0064622B">
        <w:rPr>
          <w:rFonts w:cstheme="minorHAnsi"/>
          <w:sz w:val="24"/>
          <w:szCs w:val="24"/>
        </w:rPr>
        <w:t xml:space="preserve"> </w:t>
      </w:r>
      <w:r w:rsidR="00746354" w:rsidRPr="0064622B">
        <w:rPr>
          <w:rFonts w:cstheme="minorHAnsi"/>
          <w:sz w:val="24"/>
          <w:szCs w:val="24"/>
        </w:rPr>
        <w:t xml:space="preserve">who wish to enter a marketplace can enter and freely compete with an existing firm </w:t>
      </w:r>
      <w:proofErr w:type="gramStart"/>
      <w:r w:rsidR="00746354" w:rsidRPr="0064622B">
        <w:rPr>
          <w:rFonts w:cstheme="minorHAnsi"/>
          <w:sz w:val="24"/>
          <w:szCs w:val="24"/>
        </w:rPr>
        <w:t>in order to</w:t>
      </w:r>
      <w:proofErr w:type="gramEnd"/>
      <w:r w:rsidR="00746354" w:rsidRPr="0064622B">
        <w:rPr>
          <w:rFonts w:cstheme="minorHAnsi"/>
          <w:sz w:val="24"/>
          <w:szCs w:val="24"/>
        </w:rPr>
        <w:t xml:space="preserve"> better serve consumers. In other words,</w:t>
      </w:r>
      <w:r>
        <w:rPr>
          <w:rFonts w:cstheme="minorHAnsi"/>
          <w:sz w:val="24"/>
          <w:szCs w:val="24"/>
        </w:rPr>
        <w:t xml:space="preserve"> truly implementing</w:t>
      </w:r>
      <w:r w:rsidR="00746354" w:rsidRPr="0064622B">
        <w:rPr>
          <w:rFonts w:cstheme="minorHAnsi"/>
          <w:sz w:val="24"/>
          <w:szCs w:val="24"/>
        </w:rPr>
        <w:t xml:space="preserve"> </w:t>
      </w:r>
      <w:r>
        <w:rPr>
          <w:rFonts w:cstheme="minorHAnsi"/>
          <w:sz w:val="24"/>
          <w:szCs w:val="24"/>
        </w:rPr>
        <w:t>“</w:t>
      </w:r>
      <w:r w:rsidR="001A658D">
        <w:rPr>
          <w:rFonts w:cstheme="minorHAnsi"/>
          <w:sz w:val="24"/>
          <w:szCs w:val="24"/>
        </w:rPr>
        <w:t>f</w:t>
      </w:r>
      <w:r>
        <w:rPr>
          <w:rFonts w:cstheme="minorHAnsi"/>
          <w:sz w:val="24"/>
          <w:szCs w:val="24"/>
        </w:rPr>
        <w:t>airness”</w:t>
      </w:r>
      <w:r w:rsidR="00746354" w:rsidRPr="0064622B">
        <w:rPr>
          <w:rFonts w:cstheme="minorHAnsi"/>
          <w:sz w:val="24"/>
          <w:szCs w:val="24"/>
        </w:rPr>
        <w:t xml:space="preserve"> </w:t>
      </w:r>
      <w:r>
        <w:rPr>
          <w:rFonts w:cstheme="minorHAnsi"/>
          <w:sz w:val="24"/>
          <w:szCs w:val="24"/>
        </w:rPr>
        <w:t>would lead</w:t>
      </w:r>
      <w:r w:rsidR="00746354" w:rsidRPr="0064622B">
        <w:rPr>
          <w:rFonts w:cstheme="minorHAnsi"/>
          <w:sz w:val="24"/>
          <w:szCs w:val="24"/>
        </w:rPr>
        <w:t xml:space="preserve"> us back to the consumer welfare standard. </w:t>
      </w:r>
    </w:p>
    <w:p w14:paraId="1F05F10B" w14:textId="370ADA31" w:rsidR="00746354" w:rsidRPr="0064622B" w:rsidRDefault="00746354" w:rsidP="004D385A">
      <w:pPr>
        <w:spacing w:line="360" w:lineRule="auto"/>
        <w:rPr>
          <w:rFonts w:cstheme="minorHAnsi"/>
          <w:sz w:val="24"/>
          <w:szCs w:val="24"/>
        </w:rPr>
      </w:pPr>
      <w:r w:rsidRPr="0064622B">
        <w:rPr>
          <w:rFonts w:cstheme="minorHAnsi"/>
          <w:sz w:val="24"/>
          <w:szCs w:val="24"/>
        </w:rPr>
        <w:t>An example of th</w:t>
      </w:r>
      <w:r w:rsidR="003E07E4">
        <w:rPr>
          <w:rFonts w:cstheme="minorHAnsi"/>
          <w:sz w:val="24"/>
          <w:szCs w:val="24"/>
        </w:rPr>
        <w:t>is</w:t>
      </w:r>
      <w:r w:rsidRPr="0064622B">
        <w:rPr>
          <w:rFonts w:cstheme="minorHAnsi"/>
          <w:sz w:val="24"/>
          <w:szCs w:val="24"/>
        </w:rPr>
        <w:t xml:space="preserve"> type of unfair policies</w:t>
      </w:r>
      <w:r w:rsidR="007931EC">
        <w:rPr>
          <w:rFonts w:cstheme="minorHAnsi"/>
          <w:sz w:val="24"/>
          <w:szCs w:val="24"/>
        </w:rPr>
        <w:t xml:space="preserve"> restricting market entry</w:t>
      </w:r>
      <w:r w:rsidRPr="0064622B">
        <w:rPr>
          <w:rFonts w:cstheme="minorHAnsi"/>
          <w:sz w:val="24"/>
          <w:szCs w:val="24"/>
        </w:rPr>
        <w:t xml:space="preserve"> is occupational licensing.</w:t>
      </w:r>
      <w:r w:rsidRPr="0064622B">
        <w:rPr>
          <w:rStyle w:val="FootnoteReference"/>
          <w:rFonts w:cstheme="minorHAnsi"/>
          <w:sz w:val="24"/>
          <w:szCs w:val="24"/>
        </w:rPr>
        <w:footnoteReference w:id="23"/>
      </w:r>
      <w:r w:rsidRPr="0064622B">
        <w:rPr>
          <w:rFonts w:cstheme="minorHAnsi"/>
          <w:sz w:val="24"/>
          <w:szCs w:val="24"/>
        </w:rPr>
        <w:t xml:space="preserve"> Occupational licensing requirements impose barriers to entry on many would</w:t>
      </w:r>
      <w:r w:rsidR="0007138F" w:rsidRPr="0064622B">
        <w:rPr>
          <w:rFonts w:cstheme="minorHAnsi"/>
          <w:sz w:val="24"/>
          <w:szCs w:val="24"/>
        </w:rPr>
        <w:t>-</w:t>
      </w:r>
      <w:r w:rsidRPr="0064622B">
        <w:rPr>
          <w:rFonts w:cstheme="minorHAnsi"/>
          <w:sz w:val="24"/>
          <w:szCs w:val="24"/>
        </w:rPr>
        <w:t>be entrepreneurs</w:t>
      </w:r>
      <w:r w:rsidR="0007138F" w:rsidRPr="0064622B">
        <w:rPr>
          <w:rFonts w:cstheme="minorHAnsi"/>
          <w:sz w:val="24"/>
          <w:szCs w:val="24"/>
        </w:rPr>
        <w:t>,</w:t>
      </w:r>
      <w:r w:rsidR="002F4E92" w:rsidRPr="0064622B">
        <w:rPr>
          <w:rFonts w:cstheme="minorHAnsi"/>
          <w:sz w:val="24"/>
          <w:szCs w:val="24"/>
        </w:rPr>
        <w:t xml:space="preserve"> </w:t>
      </w:r>
      <w:r w:rsidR="0007138F" w:rsidRPr="0064622B">
        <w:rPr>
          <w:rFonts w:cstheme="minorHAnsi"/>
          <w:sz w:val="24"/>
          <w:szCs w:val="24"/>
        </w:rPr>
        <w:t>t</w:t>
      </w:r>
      <w:r w:rsidRPr="0064622B">
        <w:rPr>
          <w:rFonts w:cstheme="minorHAnsi"/>
          <w:sz w:val="24"/>
          <w:szCs w:val="24"/>
        </w:rPr>
        <w:t>hus limiting consumer choices and raising prices. These requirements tend to especially impact lower-income Americans who are denied the opportunity to pursue the American Dream by starting their own business. The justification for occupational licensing is to protect consumers. However, many of the occupations that require a license, such as those for hair stylists</w:t>
      </w:r>
      <w:r w:rsidR="006B7430">
        <w:rPr>
          <w:rFonts w:cstheme="minorHAnsi"/>
          <w:sz w:val="24"/>
          <w:szCs w:val="24"/>
        </w:rPr>
        <w:t>,</w:t>
      </w:r>
      <w:r w:rsidRPr="0064622B">
        <w:rPr>
          <w:rStyle w:val="FootnoteReference"/>
          <w:rFonts w:cstheme="minorHAnsi"/>
          <w:sz w:val="24"/>
          <w:szCs w:val="24"/>
        </w:rPr>
        <w:footnoteReference w:id="24"/>
      </w:r>
      <w:r w:rsidRPr="0064622B">
        <w:rPr>
          <w:rFonts w:cstheme="minorHAnsi"/>
          <w:sz w:val="24"/>
          <w:szCs w:val="24"/>
        </w:rPr>
        <w:t xml:space="preserve"> limit competition</w:t>
      </w:r>
      <w:r w:rsidR="00D122FE" w:rsidRPr="0064622B">
        <w:rPr>
          <w:rFonts w:cstheme="minorHAnsi"/>
          <w:sz w:val="24"/>
          <w:szCs w:val="24"/>
        </w:rPr>
        <w:t>, opportunity, and prosperity</w:t>
      </w:r>
      <w:r w:rsidRPr="0064622B">
        <w:rPr>
          <w:rFonts w:cstheme="minorHAnsi"/>
          <w:sz w:val="24"/>
          <w:szCs w:val="24"/>
        </w:rPr>
        <w:t xml:space="preserve">. </w:t>
      </w:r>
    </w:p>
    <w:p w14:paraId="41FCFE60" w14:textId="093E4364" w:rsidR="00746354" w:rsidRPr="0064622B" w:rsidRDefault="00746354" w:rsidP="004D385A">
      <w:pPr>
        <w:spacing w:line="360" w:lineRule="auto"/>
        <w:rPr>
          <w:rFonts w:cstheme="minorHAnsi"/>
          <w:sz w:val="24"/>
          <w:szCs w:val="24"/>
        </w:rPr>
      </w:pPr>
      <w:r w:rsidRPr="0064622B">
        <w:rPr>
          <w:rFonts w:cstheme="minorHAnsi"/>
          <w:sz w:val="24"/>
          <w:szCs w:val="24"/>
        </w:rPr>
        <w:t xml:space="preserve">The damage inflicted by occupational licensing was examined by the FTC itself in </w:t>
      </w:r>
      <w:r w:rsidR="0050096B" w:rsidRPr="0064622B">
        <w:rPr>
          <w:rFonts w:cstheme="minorHAnsi"/>
          <w:sz w:val="24"/>
          <w:szCs w:val="24"/>
        </w:rPr>
        <w:t>its</w:t>
      </w:r>
      <w:r w:rsidRPr="0064622B">
        <w:rPr>
          <w:rFonts w:cstheme="minorHAnsi"/>
          <w:sz w:val="24"/>
          <w:szCs w:val="24"/>
        </w:rPr>
        <w:t xml:space="preserve"> 2017 report “Options to Enhance License Portability.”</w:t>
      </w:r>
      <w:r w:rsidR="00B33C7F" w:rsidRPr="0064622B">
        <w:rPr>
          <w:rStyle w:val="FootnoteReference"/>
          <w:rFonts w:cstheme="minorHAnsi"/>
          <w:sz w:val="24"/>
          <w:szCs w:val="24"/>
        </w:rPr>
        <w:footnoteReference w:id="25"/>
      </w:r>
      <w:r w:rsidRPr="0064622B">
        <w:rPr>
          <w:rFonts w:cstheme="minorHAnsi"/>
          <w:sz w:val="24"/>
          <w:szCs w:val="24"/>
        </w:rPr>
        <w:t xml:space="preserve"> The report not only detailed the numerous flaws with occupational licensing, including damaging the ability of lower-income Americans by making it impossible for them to start their own business in fields such as hair care. The paper also proposes an alternative way to government licensing</w:t>
      </w:r>
      <w:r w:rsidR="00D122FE" w:rsidRPr="0064622B">
        <w:rPr>
          <w:rFonts w:cstheme="minorHAnsi"/>
          <w:sz w:val="24"/>
          <w:szCs w:val="24"/>
        </w:rPr>
        <w:t>:</w:t>
      </w:r>
      <w:r w:rsidRPr="0064622B">
        <w:rPr>
          <w:rFonts w:cstheme="minorHAnsi"/>
          <w:sz w:val="24"/>
          <w:szCs w:val="24"/>
        </w:rPr>
        <w:t xml:space="preserve"> private certification similar to Underwriters Laboratory. </w:t>
      </w:r>
    </w:p>
    <w:p w14:paraId="21B77860" w14:textId="1CA43EB4" w:rsidR="00746354" w:rsidRPr="0064622B" w:rsidRDefault="00746354" w:rsidP="004D385A">
      <w:pPr>
        <w:spacing w:line="360" w:lineRule="auto"/>
        <w:rPr>
          <w:rFonts w:cstheme="minorHAnsi"/>
          <w:sz w:val="24"/>
          <w:szCs w:val="24"/>
        </w:rPr>
      </w:pPr>
      <w:r w:rsidRPr="0064622B">
        <w:rPr>
          <w:rFonts w:cstheme="minorHAnsi"/>
          <w:sz w:val="24"/>
          <w:szCs w:val="24"/>
        </w:rPr>
        <w:lastRenderedPageBreak/>
        <w:t>Another example of a “unfair” government policy is corporate welfare. For example, the International Monetary Fund</w:t>
      </w:r>
      <w:r w:rsidRPr="0064622B">
        <w:rPr>
          <w:rStyle w:val="FootnoteReference"/>
          <w:rFonts w:cstheme="minorHAnsi"/>
          <w:sz w:val="24"/>
          <w:szCs w:val="24"/>
        </w:rPr>
        <w:footnoteReference w:id="26"/>
      </w:r>
      <w:r w:rsidRPr="0064622B">
        <w:rPr>
          <w:rFonts w:cstheme="minorHAnsi"/>
          <w:sz w:val="24"/>
          <w:szCs w:val="24"/>
        </w:rPr>
        <w:t xml:space="preserve"> and Export-Import Bank</w:t>
      </w:r>
      <w:r w:rsidRPr="0064622B">
        <w:rPr>
          <w:rStyle w:val="FootnoteReference"/>
          <w:rFonts w:cstheme="minorHAnsi"/>
          <w:sz w:val="24"/>
          <w:szCs w:val="24"/>
        </w:rPr>
        <w:footnoteReference w:id="27"/>
      </w:r>
      <w:r w:rsidRPr="0064622B">
        <w:rPr>
          <w:rFonts w:cstheme="minorHAnsi"/>
          <w:sz w:val="24"/>
          <w:szCs w:val="24"/>
        </w:rPr>
        <w:t xml:space="preserve"> use taxpayer money to subsidize American businesses</w:t>
      </w:r>
      <w:r w:rsidR="003D1AA9" w:rsidRPr="0064622B">
        <w:rPr>
          <w:rFonts w:cstheme="minorHAnsi"/>
          <w:sz w:val="24"/>
          <w:szCs w:val="24"/>
        </w:rPr>
        <w:t>’</w:t>
      </w:r>
      <w:r w:rsidRPr="0064622B">
        <w:rPr>
          <w:rFonts w:cstheme="minorHAnsi"/>
          <w:sz w:val="24"/>
          <w:szCs w:val="24"/>
        </w:rPr>
        <w:t xml:space="preserve"> overseas ventures</w:t>
      </w:r>
      <w:r w:rsidR="004C17F3">
        <w:rPr>
          <w:rFonts w:cstheme="minorHAnsi"/>
          <w:sz w:val="24"/>
          <w:szCs w:val="24"/>
        </w:rPr>
        <w:t>,</w:t>
      </w:r>
      <w:r w:rsidRPr="0064622B">
        <w:rPr>
          <w:rFonts w:cstheme="minorHAnsi"/>
          <w:sz w:val="24"/>
          <w:szCs w:val="24"/>
        </w:rPr>
        <w:t xml:space="preserve"> </w:t>
      </w:r>
      <w:r w:rsidR="004C17F3">
        <w:rPr>
          <w:rFonts w:cstheme="minorHAnsi"/>
          <w:sz w:val="24"/>
          <w:szCs w:val="24"/>
        </w:rPr>
        <w:t>t</w:t>
      </w:r>
      <w:r w:rsidRPr="0064622B">
        <w:rPr>
          <w:rFonts w:cstheme="minorHAnsi"/>
          <w:sz w:val="24"/>
          <w:szCs w:val="24"/>
        </w:rPr>
        <w:t xml:space="preserve">hus providing a benefit to those businesses while putting their (usually smaller) competitors at a disadvantage. </w:t>
      </w:r>
    </w:p>
    <w:p w14:paraId="1691CA01" w14:textId="34AC0455" w:rsidR="00746354" w:rsidRPr="0064622B" w:rsidRDefault="00746354" w:rsidP="004D385A">
      <w:pPr>
        <w:spacing w:line="360" w:lineRule="auto"/>
        <w:rPr>
          <w:rFonts w:cstheme="minorHAnsi"/>
          <w:sz w:val="24"/>
          <w:szCs w:val="24"/>
        </w:rPr>
      </w:pPr>
      <w:r w:rsidRPr="0064622B">
        <w:rPr>
          <w:rFonts w:cstheme="minorHAnsi"/>
          <w:sz w:val="24"/>
          <w:szCs w:val="24"/>
        </w:rPr>
        <w:t>Other forms of unfairness include “too big to fail”</w:t>
      </w:r>
      <w:r w:rsidRPr="0064622B">
        <w:rPr>
          <w:rStyle w:val="FootnoteReference"/>
          <w:rFonts w:cstheme="minorHAnsi"/>
          <w:sz w:val="24"/>
          <w:szCs w:val="24"/>
        </w:rPr>
        <w:footnoteReference w:id="28"/>
      </w:r>
      <w:r w:rsidRPr="0064622B">
        <w:rPr>
          <w:rFonts w:cstheme="minorHAnsi"/>
          <w:sz w:val="24"/>
          <w:szCs w:val="24"/>
        </w:rPr>
        <w:t xml:space="preserve"> protections and regulations whose costs are easily absorbed by large, existing firms but can crimple small businesses and discourage new entries into the market</w:t>
      </w:r>
      <w:r w:rsidR="008C56FB" w:rsidRPr="0064622B">
        <w:rPr>
          <w:rFonts w:cstheme="minorHAnsi"/>
          <w:sz w:val="24"/>
          <w:szCs w:val="24"/>
        </w:rPr>
        <w:t>.</w:t>
      </w:r>
      <w:r w:rsidRPr="0064622B">
        <w:rPr>
          <w:rStyle w:val="FootnoteReference"/>
          <w:rFonts w:cstheme="minorHAnsi"/>
          <w:sz w:val="24"/>
          <w:szCs w:val="24"/>
        </w:rPr>
        <w:footnoteReference w:id="29"/>
      </w:r>
      <w:r w:rsidRPr="0064622B">
        <w:rPr>
          <w:rFonts w:cstheme="minorHAnsi"/>
          <w:sz w:val="24"/>
          <w:szCs w:val="24"/>
        </w:rPr>
        <w:t xml:space="preserve"> </w:t>
      </w:r>
    </w:p>
    <w:p w14:paraId="71FF34A5" w14:textId="0E657ADE" w:rsidR="00746354" w:rsidRPr="0064622B" w:rsidRDefault="00746354" w:rsidP="004D385A">
      <w:pPr>
        <w:spacing w:line="360" w:lineRule="auto"/>
        <w:rPr>
          <w:rFonts w:cstheme="minorHAnsi"/>
          <w:sz w:val="24"/>
          <w:szCs w:val="24"/>
        </w:rPr>
      </w:pPr>
      <w:r w:rsidRPr="0064622B">
        <w:rPr>
          <w:rFonts w:cstheme="minorHAnsi"/>
          <w:sz w:val="24"/>
          <w:szCs w:val="24"/>
        </w:rPr>
        <w:t xml:space="preserve">Empowering the FTC to unilaterally overturn these laws and regulations may give the FTC more power than an agency should have—even one devoted to advancing a </w:t>
      </w:r>
      <w:r w:rsidR="007931EC">
        <w:rPr>
          <w:rFonts w:cstheme="minorHAnsi"/>
          <w:sz w:val="24"/>
          <w:szCs w:val="24"/>
        </w:rPr>
        <w:t xml:space="preserve">truly </w:t>
      </w:r>
      <w:r w:rsidRPr="0064622B">
        <w:rPr>
          <w:rFonts w:cstheme="minorHAnsi"/>
          <w:sz w:val="24"/>
          <w:szCs w:val="24"/>
        </w:rPr>
        <w:t>fair, and thus free, market economy by eliminating cronyisms from the system.</w:t>
      </w:r>
      <w:r w:rsidR="002F4E92" w:rsidRPr="0064622B">
        <w:rPr>
          <w:rFonts w:cstheme="minorHAnsi"/>
          <w:sz w:val="24"/>
          <w:szCs w:val="24"/>
        </w:rPr>
        <w:t xml:space="preserve"> </w:t>
      </w:r>
      <w:r w:rsidR="007931EC">
        <w:rPr>
          <w:rFonts w:cstheme="minorHAnsi"/>
          <w:sz w:val="24"/>
          <w:szCs w:val="24"/>
        </w:rPr>
        <w:t>However, i</w:t>
      </w:r>
      <w:r w:rsidRPr="0064622B">
        <w:rPr>
          <w:rFonts w:cstheme="minorHAnsi"/>
          <w:sz w:val="24"/>
          <w:szCs w:val="24"/>
        </w:rPr>
        <w:t xml:space="preserve">nstead of allowing the FTC to become a libertarian version of Khan’s </w:t>
      </w:r>
      <w:r w:rsidR="007931EC">
        <w:rPr>
          <w:rFonts w:cstheme="minorHAnsi"/>
          <w:sz w:val="24"/>
          <w:szCs w:val="24"/>
        </w:rPr>
        <w:t xml:space="preserve">progressive </w:t>
      </w:r>
      <w:r w:rsidRPr="0064622B">
        <w:rPr>
          <w:rFonts w:cstheme="minorHAnsi"/>
          <w:sz w:val="24"/>
          <w:szCs w:val="24"/>
        </w:rPr>
        <w:t xml:space="preserve">dream of an FTC empowered to shape economic outcomes, the agency could </w:t>
      </w:r>
      <w:r w:rsidR="00154DFA">
        <w:rPr>
          <w:rFonts w:cstheme="minorHAnsi"/>
          <w:sz w:val="24"/>
          <w:szCs w:val="24"/>
        </w:rPr>
        <w:t xml:space="preserve">at least </w:t>
      </w:r>
      <w:r w:rsidRPr="0064622B">
        <w:rPr>
          <w:rFonts w:cstheme="minorHAnsi"/>
          <w:sz w:val="24"/>
          <w:szCs w:val="24"/>
        </w:rPr>
        <w:t>identify areas where federal, state, or local governments policies promote monopolies or give politically connected business an advantage over their competitors</w:t>
      </w:r>
      <w:r w:rsidR="00FD0C7C" w:rsidRPr="0064622B">
        <w:rPr>
          <w:rFonts w:cstheme="minorHAnsi"/>
          <w:sz w:val="24"/>
          <w:szCs w:val="24"/>
        </w:rPr>
        <w:t>, either intentionally or as an unintended consequence</w:t>
      </w:r>
      <w:r w:rsidRPr="0064622B">
        <w:rPr>
          <w:rFonts w:cstheme="minorHAnsi"/>
          <w:sz w:val="24"/>
          <w:szCs w:val="24"/>
        </w:rPr>
        <w:t>. They could also evaluate proposed laws and</w:t>
      </w:r>
      <w:r w:rsidRPr="00DC1FC7">
        <w:rPr>
          <w:rFonts w:cstheme="minorHAnsi"/>
          <w:sz w:val="20"/>
          <w:szCs w:val="20"/>
        </w:rPr>
        <w:t xml:space="preserve"> </w:t>
      </w:r>
      <w:r w:rsidRPr="0064622B">
        <w:rPr>
          <w:rFonts w:cstheme="minorHAnsi"/>
          <w:sz w:val="24"/>
          <w:szCs w:val="24"/>
        </w:rPr>
        <w:t>regulations to see if they promote competition or promote consolidation</w:t>
      </w:r>
      <w:r w:rsidR="008E5DC7" w:rsidRPr="0064622B">
        <w:rPr>
          <w:rFonts w:cstheme="minorHAnsi"/>
          <w:sz w:val="24"/>
          <w:szCs w:val="24"/>
        </w:rPr>
        <w:t>,</w:t>
      </w:r>
      <w:r w:rsidRPr="0064622B">
        <w:rPr>
          <w:rFonts w:cstheme="minorHAnsi"/>
          <w:sz w:val="24"/>
          <w:szCs w:val="24"/>
        </w:rPr>
        <w:t xml:space="preserve"> as well as work with federal and state legislators on implementing the agency’s recommendations. </w:t>
      </w:r>
    </w:p>
    <w:p w14:paraId="66938531" w14:textId="5F9D3CA6" w:rsidR="00746354" w:rsidRPr="0064622B" w:rsidRDefault="00746354" w:rsidP="004D385A">
      <w:pPr>
        <w:spacing w:line="360" w:lineRule="auto"/>
        <w:rPr>
          <w:rFonts w:cstheme="minorHAnsi"/>
          <w:sz w:val="24"/>
          <w:szCs w:val="24"/>
        </w:rPr>
      </w:pPr>
      <w:r w:rsidRPr="0064622B">
        <w:rPr>
          <w:rFonts w:cstheme="minorHAnsi"/>
          <w:sz w:val="24"/>
          <w:szCs w:val="24"/>
        </w:rPr>
        <w:t xml:space="preserve">The FTC could shine a public spotlight on the ways in which laws and regulations benefit entrenched business at the expense of small and start-up businesses, workers, and consumers. This could even revive the left-right coalition that flourished under the Carter </w:t>
      </w:r>
      <w:r w:rsidR="008E5DC7" w:rsidRPr="0064622B">
        <w:rPr>
          <w:rFonts w:cstheme="minorHAnsi"/>
          <w:sz w:val="24"/>
          <w:szCs w:val="24"/>
        </w:rPr>
        <w:t>p</w:t>
      </w:r>
      <w:r w:rsidRPr="0064622B">
        <w:rPr>
          <w:rFonts w:cstheme="minorHAnsi"/>
          <w:sz w:val="24"/>
          <w:szCs w:val="24"/>
        </w:rPr>
        <w:t>residency and led the deregulation of the airline, trucking, and train industries</w:t>
      </w:r>
      <w:r w:rsidR="008E5DC7" w:rsidRPr="0064622B">
        <w:rPr>
          <w:rFonts w:cstheme="minorHAnsi"/>
          <w:sz w:val="24"/>
          <w:szCs w:val="24"/>
        </w:rPr>
        <w:t>.</w:t>
      </w:r>
      <w:r w:rsidRPr="0064622B">
        <w:rPr>
          <w:rStyle w:val="FootnoteReference"/>
          <w:rFonts w:cstheme="minorHAnsi"/>
          <w:sz w:val="24"/>
          <w:szCs w:val="24"/>
        </w:rPr>
        <w:footnoteReference w:id="30"/>
      </w:r>
    </w:p>
    <w:p w14:paraId="20860B14" w14:textId="2527DC3B" w:rsidR="00746354" w:rsidRPr="0064622B" w:rsidRDefault="00746354" w:rsidP="007931EC">
      <w:pPr>
        <w:spacing w:line="360" w:lineRule="auto"/>
        <w:rPr>
          <w:rFonts w:cstheme="minorHAnsi"/>
          <w:sz w:val="24"/>
          <w:szCs w:val="24"/>
        </w:rPr>
      </w:pPr>
      <w:r w:rsidRPr="0064622B">
        <w:rPr>
          <w:rFonts w:cstheme="minorHAnsi"/>
          <w:sz w:val="24"/>
          <w:szCs w:val="24"/>
        </w:rPr>
        <w:lastRenderedPageBreak/>
        <w:t xml:space="preserve">Carter’s deregulation agenda was supported by </w:t>
      </w:r>
      <w:r w:rsidR="009217FD" w:rsidRPr="0064622B">
        <w:rPr>
          <w:rFonts w:cstheme="minorHAnsi"/>
          <w:sz w:val="24"/>
          <w:szCs w:val="24"/>
        </w:rPr>
        <w:t xml:space="preserve">liberals </w:t>
      </w:r>
      <w:r w:rsidRPr="0064622B">
        <w:rPr>
          <w:rFonts w:cstheme="minorHAnsi"/>
          <w:sz w:val="24"/>
          <w:szCs w:val="24"/>
        </w:rPr>
        <w:t xml:space="preserve">like </w:t>
      </w:r>
      <w:r w:rsidR="00864CDB">
        <w:rPr>
          <w:rFonts w:cstheme="minorHAnsi"/>
          <w:sz w:val="24"/>
          <w:szCs w:val="24"/>
        </w:rPr>
        <w:t xml:space="preserve">Ralph Nader and </w:t>
      </w:r>
      <w:r w:rsidRPr="0064622B">
        <w:rPr>
          <w:rFonts w:cstheme="minorHAnsi"/>
          <w:sz w:val="24"/>
          <w:szCs w:val="24"/>
        </w:rPr>
        <w:t>Sen</w:t>
      </w:r>
      <w:r w:rsidR="00E37642" w:rsidRPr="0064622B">
        <w:rPr>
          <w:rFonts w:cstheme="minorHAnsi"/>
          <w:sz w:val="24"/>
          <w:szCs w:val="24"/>
        </w:rPr>
        <w:t>.</w:t>
      </w:r>
      <w:r w:rsidRPr="0064622B">
        <w:rPr>
          <w:rFonts w:cstheme="minorHAnsi"/>
          <w:sz w:val="24"/>
          <w:szCs w:val="24"/>
        </w:rPr>
        <w:t xml:space="preserve"> Ted Kennedy (with the counsel of his then-young aide progressives like Chair Kahn and even “centrists” Democrats like Minnesota Sen</w:t>
      </w:r>
      <w:r w:rsidR="00ED571B" w:rsidRPr="0064622B">
        <w:rPr>
          <w:rFonts w:cstheme="minorHAnsi"/>
          <w:sz w:val="24"/>
          <w:szCs w:val="24"/>
        </w:rPr>
        <w:t>.</w:t>
      </w:r>
      <w:r w:rsidRPr="0064622B">
        <w:rPr>
          <w:rFonts w:cstheme="minorHAnsi"/>
          <w:sz w:val="24"/>
          <w:szCs w:val="24"/>
        </w:rPr>
        <w:t xml:space="preserve"> Amy </w:t>
      </w:r>
      <w:r w:rsidR="003130AC" w:rsidRPr="0064622B">
        <w:rPr>
          <w:rFonts w:cstheme="minorHAnsi"/>
          <w:sz w:val="24"/>
          <w:szCs w:val="24"/>
        </w:rPr>
        <w:t>and future Supreme Court Justice Stephen Breyer)</w:t>
      </w:r>
      <w:r w:rsidR="003130AC" w:rsidRPr="0064622B">
        <w:rPr>
          <w:rStyle w:val="FootnoteReference"/>
          <w:rFonts w:cstheme="minorHAnsi"/>
          <w:sz w:val="24"/>
          <w:szCs w:val="24"/>
        </w:rPr>
        <w:footnoteReference w:id="31"/>
      </w:r>
      <w:r w:rsidR="003130AC" w:rsidRPr="0064622B">
        <w:rPr>
          <w:rFonts w:cstheme="minorHAnsi"/>
          <w:sz w:val="24"/>
          <w:szCs w:val="24"/>
        </w:rPr>
        <w:t xml:space="preserve"> who understood that regulations often serve to protect larger firms against upstart competitors. In contrast, the agenda of today’s </w:t>
      </w:r>
      <w:r w:rsidRPr="0064622B">
        <w:rPr>
          <w:rFonts w:cstheme="minorHAnsi"/>
          <w:sz w:val="24"/>
          <w:szCs w:val="24"/>
        </w:rPr>
        <w:t xml:space="preserve">Klobuchar would lead to de facto government-created and enforced cartels. </w:t>
      </w:r>
    </w:p>
    <w:p w14:paraId="5163BA95" w14:textId="2DD26479" w:rsidR="00746354" w:rsidRPr="0064622B" w:rsidRDefault="00B2122B" w:rsidP="004D385A">
      <w:pPr>
        <w:spacing w:line="360" w:lineRule="auto"/>
        <w:rPr>
          <w:rFonts w:cstheme="minorHAnsi"/>
          <w:b/>
          <w:bCs/>
          <w:sz w:val="24"/>
          <w:szCs w:val="24"/>
        </w:rPr>
      </w:pPr>
      <w:r w:rsidRPr="0064622B">
        <w:rPr>
          <w:rFonts w:cstheme="minorHAnsi"/>
          <w:b/>
          <w:bCs/>
          <w:sz w:val="24"/>
          <w:szCs w:val="24"/>
        </w:rPr>
        <w:t xml:space="preserve">VI. </w:t>
      </w:r>
      <w:r w:rsidRPr="0064622B">
        <w:rPr>
          <w:rFonts w:cstheme="minorHAnsi"/>
          <w:b/>
          <w:bCs/>
          <w:sz w:val="24"/>
          <w:szCs w:val="24"/>
        </w:rPr>
        <w:tab/>
      </w:r>
      <w:r w:rsidR="00746354" w:rsidRPr="0064622B">
        <w:rPr>
          <w:rFonts w:cstheme="minorHAnsi"/>
          <w:b/>
          <w:bCs/>
          <w:sz w:val="24"/>
          <w:szCs w:val="24"/>
        </w:rPr>
        <w:t xml:space="preserve">Conclusion </w:t>
      </w:r>
    </w:p>
    <w:p w14:paraId="79F9C86E" w14:textId="4DC45F8F" w:rsidR="00746354" w:rsidRPr="0064622B" w:rsidRDefault="00746354" w:rsidP="004D385A">
      <w:pPr>
        <w:spacing w:line="360" w:lineRule="auto"/>
        <w:rPr>
          <w:rFonts w:cstheme="minorHAnsi"/>
          <w:sz w:val="24"/>
          <w:szCs w:val="24"/>
        </w:rPr>
      </w:pPr>
      <w:r w:rsidRPr="0064622B">
        <w:rPr>
          <w:rFonts w:cstheme="minorHAnsi"/>
          <w:sz w:val="24"/>
          <w:szCs w:val="24"/>
        </w:rPr>
        <w:t>FTC Chair Lina Khan has seized on the agency’s statutory mandate to punish “unfair” business practices to justi</w:t>
      </w:r>
      <w:r w:rsidR="00DC1FC7" w:rsidRPr="0064622B">
        <w:rPr>
          <w:rFonts w:cstheme="minorHAnsi"/>
          <w:sz w:val="24"/>
          <w:szCs w:val="24"/>
        </w:rPr>
        <w:t xml:space="preserve">fy </w:t>
      </w:r>
      <w:r w:rsidRPr="0064622B">
        <w:rPr>
          <w:rFonts w:cstheme="minorHAnsi"/>
          <w:sz w:val="24"/>
          <w:szCs w:val="24"/>
        </w:rPr>
        <w:t xml:space="preserve">her expanding usage of federal antitrust laws into a grant of authority for the FTC to second-guess and block any business decision that violates the FTC’s board sense of “fairness.” </w:t>
      </w:r>
    </w:p>
    <w:p w14:paraId="7E8B3026" w14:textId="77777777" w:rsidR="00746354" w:rsidRPr="0064622B" w:rsidRDefault="00746354" w:rsidP="004D385A">
      <w:pPr>
        <w:spacing w:line="360" w:lineRule="auto"/>
        <w:rPr>
          <w:rFonts w:cstheme="minorHAnsi"/>
          <w:sz w:val="24"/>
          <w:szCs w:val="24"/>
        </w:rPr>
      </w:pPr>
      <w:r w:rsidRPr="0064622B">
        <w:rPr>
          <w:rFonts w:cstheme="minorHAnsi"/>
          <w:sz w:val="24"/>
          <w:szCs w:val="24"/>
        </w:rPr>
        <w:t xml:space="preserve">Khan’s definition of fairness is rooted in the progressive view that any business decision that offends government officials, even if the action is perfectly legal, should be prohibited by government bureaucrats. </w:t>
      </w:r>
    </w:p>
    <w:p w14:paraId="1780481D" w14:textId="3ACF1DF7" w:rsidR="0031536B" w:rsidRDefault="004F4F7D" w:rsidP="004D385A">
      <w:pPr>
        <w:spacing w:line="360" w:lineRule="auto"/>
        <w:rPr>
          <w:rFonts w:cstheme="minorHAnsi"/>
          <w:sz w:val="24"/>
          <w:szCs w:val="24"/>
        </w:rPr>
      </w:pPr>
      <w:proofErr w:type="gramStart"/>
      <w:r>
        <w:rPr>
          <w:rFonts w:cstheme="minorHAnsi"/>
          <w:sz w:val="24"/>
          <w:szCs w:val="24"/>
        </w:rPr>
        <w:t>But,</w:t>
      </w:r>
      <w:proofErr w:type="gramEnd"/>
      <w:r>
        <w:rPr>
          <w:rFonts w:cstheme="minorHAnsi"/>
          <w:sz w:val="24"/>
          <w:szCs w:val="24"/>
        </w:rPr>
        <w:t xml:space="preserve"> market “fairness” is</w:t>
      </w:r>
      <w:r w:rsidR="00746354" w:rsidRPr="0064622B">
        <w:rPr>
          <w:rFonts w:cstheme="minorHAnsi"/>
          <w:sz w:val="24"/>
          <w:szCs w:val="24"/>
        </w:rPr>
        <w:t xml:space="preserve"> when business</w:t>
      </w:r>
      <w:r>
        <w:rPr>
          <w:rFonts w:cstheme="minorHAnsi"/>
          <w:sz w:val="24"/>
          <w:szCs w:val="24"/>
        </w:rPr>
        <w:t>es</w:t>
      </w:r>
      <w:r w:rsidR="00746354" w:rsidRPr="0064622B">
        <w:rPr>
          <w:rFonts w:cstheme="minorHAnsi"/>
          <w:sz w:val="24"/>
          <w:szCs w:val="24"/>
        </w:rPr>
        <w:t xml:space="preserve"> can compete free of government restrictions or government policies—such as corporate subsidies or regulations—that favor their competitors. Utilizing this definition of fairness </w:t>
      </w:r>
      <w:r>
        <w:rPr>
          <w:rFonts w:cstheme="minorHAnsi"/>
          <w:sz w:val="24"/>
          <w:szCs w:val="24"/>
        </w:rPr>
        <w:t>means that</w:t>
      </w:r>
      <w:r w:rsidR="00746354" w:rsidRPr="0064622B">
        <w:rPr>
          <w:rFonts w:cstheme="minorHAnsi"/>
          <w:sz w:val="24"/>
          <w:szCs w:val="24"/>
        </w:rPr>
        <w:t xml:space="preserve"> government should not intervene in private business decisions.</w:t>
      </w:r>
      <w:r w:rsidR="002F4E92" w:rsidRPr="0064622B">
        <w:rPr>
          <w:rFonts w:cstheme="minorHAnsi"/>
          <w:sz w:val="24"/>
          <w:szCs w:val="24"/>
        </w:rPr>
        <w:t xml:space="preserve"> </w:t>
      </w:r>
    </w:p>
    <w:p w14:paraId="3CC31C50" w14:textId="05F8090F" w:rsidR="00746354" w:rsidRPr="0064622B" w:rsidRDefault="00746354" w:rsidP="004D385A">
      <w:pPr>
        <w:spacing w:line="360" w:lineRule="auto"/>
        <w:rPr>
          <w:rFonts w:cstheme="minorHAnsi"/>
          <w:sz w:val="24"/>
          <w:szCs w:val="24"/>
        </w:rPr>
      </w:pPr>
      <w:r w:rsidRPr="0064622B">
        <w:rPr>
          <w:rFonts w:cstheme="minorHAnsi"/>
          <w:sz w:val="24"/>
          <w:szCs w:val="24"/>
        </w:rPr>
        <w:t xml:space="preserve">Rather, the FTC should spend </w:t>
      </w:r>
      <w:r w:rsidR="0050096B" w:rsidRPr="0064622B">
        <w:rPr>
          <w:rFonts w:cstheme="minorHAnsi"/>
          <w:sz w:val="24"/>
          <w:szCs w:val="24"/>
        </w:rPr>
        <w:t>its</w:t>
      </w:r>
      <w:r w:rsidRPr="0064622B">
        <w:rPr>
          <w:rFonts w:cstheme="minorHAnsi"/>
          <w:sz w:val="24"/>
          <w:szCs w:val="24"/>
        </w:rPr>
        <w:t xml:space="preserve"> time and</w:t>
      </w:r>
      <w:r w:rsidRPr="00DC1FC7">
        <w:rPr>
          <w:rFonts w:cstheme="minorHAnsi"/>
          <w:sz w:val="20"/>
          <w:szCs w:val="20"/>
        </w:rPr>
        <w:t xml:space="preserve"> </w:t>
      </w:r>
      <w:r w:rsidRPr="0064622B">
        <w:rPr>
          <w:rFonts w:cstheme="minorHAnsi"/>
          <w:sz w:val="24"/>
          <w:szCs w:val="24"/>
        </w:rPr>
        <w:t>taxpayer-provided budget on identifying and repealing government policies that tilt the playing field toward certain politically</w:t>
      </w:r>
      <w:r w:rsidR="00910265" w:rsidRPr="0064622B">
        <w:rPr>
          <w:rFonts w:cstheme="minorHAnsi"/>
          <w:sz w:val="24"/>
          <w:szCs w:val="24"/>
        </w:rPr>
        <w:t xml:space="preserve"> </w:t>
      </w:r>
      <w:r w:rsidRPr="0064622B">
        <w:rPr>
          <w:rFonts w:cstheme="minorHAnsi"/>
          <w:sz w:val="24"/>
          <w:szCs w:val="24"/>
        </w:rPr>
        <w:t>favored businesses</w:t>
      </w:r>
      <w:r w:rsidR="001D0864" w:rsidRPr="0064622B">
        <w:rPr>
          <w:rFonts w:cstheme="minorHAnsi"/>
          <w:sz w:val="24"/>
          <w:szCs w:val="24"/>
        </w:rPr>
        <w:t>—</w:t>
      </w:r>
      <w:r w:rsidRPr="0064622B">
        <w:rPr>
          <w:rFonts w:cstheme="minorHAnsi"/>
          <w:sz w:val="24"/>
          <w:szCs w:val="24"/>
        </w:rPr>
        <w:t>either intentionally or as an unintended consequence of government intervention in the marketplace.</w:t>
      </w:r>
    </w:p>
    <w:p w14:paraId="247C5282" w14:textId="6A1C2FB4" w:rsidR="00AD3371" w:rsidRDefault="00746354" w:rsidP="004D385A">
      <w:pPr>
        <w:spacing w:line="360" w:lineRule="auto"/>
        <w:rPr>
          <w:rFonts w:cstheme="minorHAnsi"/>
          <w:sz w:val="24"/>
          <w:szCs w:val="24"/>
        </w:rPr>
      </w:pPr>
      <w:r w:rsidRPr="0064622B">
        <w:rPr>
          <w:rFonts w:cstheme="minorHAnsi"/>
          <w:sz w:val="24"/>
          <w:szCs w:val="24"/>
        </w:rPr>
        <w:t>This approach would strengthen free-markets and weaken cronyism, thus making markets more efficient to the benefit of small business</w:t>
      </w:r>
      <w:r w:rsidR="00DF40CB" w:rsidRPr="0064622B">
        <w:rPr>
          <w:rFonts w:cstheme="minorHAnsi"/>
          <w:sz w:val="24"/>
          <w:szCs w:val="24"/>
        </w:rPr>
        <w:t>,</w:t>
      </w:r>
      <w:r w:rsidRPr="0064622B">
        <w:rPr>
          <w:rFonts w:cstheme="minorHAnsi"/>
          <w:sz w:val="24"/>
          <w:szCs w:val="24"/>
        </w:rPr>
        <w:t xml:space="preserve"> workers</w:t>
      </w:r>
      <w:r w:rsidR="00DF40CB" w:rsidRPr="0064622B">
        <w:rPr>
          <w:rFonts w:cstheme="minorHAnsi"/>
          <w:sz w:val="24"/>
          <w:szCs w:val="24"/>
        </w:rPr>
        <w:t>,</w:t>
      </w:r>
      <w:r w:rsidRPr="0064622B">
        <w:rPr>
          <w:rFonts w:cstheme="minorHAnsi"/>
          <w:sz w:val="24"/>
          <w:szCs w:val="24"/>
        </w:rPr>
        <w:t xml:space="preserve"> and consumers. The losers are the crony capitalists and bureaucrats who benefit from the current system. Defenders of the free </w:t>
      </w:r>
      <w:r w:rsidRPr="0064622B">
        <w:rPr>
          <w:rFonts w:cstheme="minorHAnsi"/>
          <w:sz w:val="24"/>
          <w:szCs w:val="24"/>
        </w:rPr>
        <w:lastRenderedPageBreak/>
        <w:t xml:space="preserve">market must take advantage of this opportunity to break progressives’ monopoly on defining fairness as something to be enforced by government bureaucrats themselves. </w:t>
      </w:r>
    </w:p>
    <w:p w14:paraId="2422024E" w14:textId="2D15481D" w:rsidR="00746354" w:rsidRPr="0064622B" w:rsidRDefault="00746354" w:rsidP="004D385A">
      <w:pPr>
        <w:spacing w:line="360" w:lineRule="auto"/>
        <w:rPr>
          <w:rFonts w:cstheme="minorHAnsi"/>
          <w:sz w:val="24"/>
          <w:szCs w:val="24"/>
        </w:rPr>
      </w:pPr>
      <w:r w:rsidRPr="0064622B">
        <w:rPr>
          <w:rFonts w:cstheme="minorHAnsi"/>
          <w:sz w:val="24"/>
          <w:szCs w:val="24"/>
        </w:rPr>
        <w:t>Instead, we must illustrate that real fairness is a truly</w:t>
      </w:r>
      <w:r w:rsidR="001D0864" w:rsidRPr="0064622B">
        <w:rPr>
          <w:rFonts w:cstheme="minorHAnsi"/>
          <w:sz w:val="24"/>
          <w:szCs w:val="24"/>
        </w:rPr>
        <w:t>—</w:t>
      </w:r>
      <w:r w:rsidRPr="0064622B">
        <w:rPr>
          <w:rFonts w:cstheme="minorHAnsi"/>
          <w:sz w:val="24"/>
          <w:szCs w:val="24"/>
        </w:rPr>
        <w:t>and inherently</w:t>
      </w:r>
      <w:r w:rsidR="001D0864" w:rsidRPr="0064622B">
        <w:rPr>
          <w:rFonts w:cstheme="minorHAnsi"/>
          <w:sz w:val="24"/>
          <w:szCs w:val="24"/>
        </w:rPr>
        <w:t>—</w:t>
      </w:r>
      <w:r w:rsidRPr="0064622B">
        <w:rPr>
          <w:rFonts w:cstheme="minorHAnsi"/>
          <w:sz w:val="24"/>
          <w:szCs w:val="24"/>
        </w:rPr>
        <w:t>free market.</w:t>
      </w:r>
    </w:p>
    <w:p w14:paraId="05B9F553" w14:textId="77777777" w:rsidR="003E5CD7" w:rsidRPr="00DC1FC7" w:rsidRDefault="00000000">
      <w:pPr>
        <w:rPr>
          <w:rFonts w:cstheme="minorHAnsi"/>
          <w:sz w:val="20"/>
          <w:szCs w:val="20"/>
        </w:rPr>
      </w:pPr>
    </w:p>
    <w:sectPr w:rsidR="003E5CD7" w:rsidRPr="00DC1FC7" w:rsidSect="00DE15DB">
      <w:footerReference w:type="default" r:id="rId9"/>
      <w:headerReference w:type="first" r:id="rId10"/>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8AE1" w14:textId="77777777" w:rsidR="00E373D3" w:rsidRDefault="00E373D3" w:rsidP="00746354">
      <w:pPr>
        <w:spacing w:after="0" w:line="240" w:lineRule="auto"/>
      </w:pPr>
      <w:r>
        <w:separator/>
      </w:r>
    </w:p>
  </w:endnote>
  <w:endnote w:type="continuationSeparator" w:id="0">
    <w:p w14:paraId="54454186" w14:textId="77777777" w:rsidR="00E373D3" w:rsidRDefault="00E373D3" w:rsidP="007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486155"/>
      <w:docPartObj>
        <w:docPartGallery w:val="Page Numbers (Bottom of Page)"/>
        <w:docPartUnique/>
      </w:docPartObj>
    </w:sdtPr>
    <w:sdtEndPr>
      <w:rPr>
        <w:noProof/>
      </w:rPr>
    </w:sdtEndPr>
    <w:sdtContent>
      <w:p w14:paraId="4EB3D728" w14:textId="359F2472" w:rsidR="002F4E92" w:rsidRDefault="002F4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5A9AC" w14:textId="77777777" w:rsidR="00437E2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04AB" w14:textId="77777777" w:rsidR="00E373D3" w:rsidRDefault="00E373D3" w:rsidP="00746354">
      <w:pPr>
        <w:spacing w:after="0" w:line="240" w:lineRule="auto"/>
      </w:pPr>
      <w:r>
        <w:separator/>
      </w:r>
    </w:p>
  </w:footnote>
  <w:footnote w:type="continuationSeparator" w:id="0">
    <w:p w14:paraId="6A31A09C" w14:textId="77777777" w:rsidR="00E373D3" w:rsidRDefault="00E373D3" w:rsidP="00746354">
      <w:pPr>
        <w:spacing w:after="0" w:line="240" w:lineRule="auto"/>
      </w:pPr>
      <w:r>
        <w:continuationSeparator/>
      </w:r>
    </w:p>
  </w:footnote>
  <w:footnote w:id="1">
    <w:p w14:paraId="4B0046BA" w14:textId="565F0519" w:rsidR="00746354" w:rsidRPr="00DC1FC7" w:rsidRDefault="00746354" w:rsidP="00477CA7">
      <w:pPr>
        <w:pStyle w:val="FootnoteText"/>
        <w:contextualSpacing/>
        <w:rPr>
          <w:rFonts w:cstheme="minorHAnsi"/>
        </w:rPr>
      </w:pPr>
      <w:r w:rsidRPr="00DC1FC7">
        <w:rPr>
          <w:rStyle w:val="FootnoteReference"/>
          <w:rFonts w:cstheme="minorHAnsi"/>
        </w:rPr>
        <w:footnoteRef/>
      </w:r>
      <w:r w:rsidRPr="00DC1FC7">
        <w:rPr>
          <w:rFonts w:cstheme="minorHAnsi"/>
        </w:rPr>
        <w:t xml:space="preserve"> </w:t>
      </w:r>
      <w:bookmarkStart w:id="0" w:name="_Hlk125383769"/>
      <w:r w:rsidR="00705720" w:rsidRPr="00E90557">
        <w:rPr>
          <w:rFonts w:cstheme="minorHAnsi"/>
        </w:rPr>
        <w:t>Policy Statement Regarding the Scope of Unfair Methods of Competition</w:t>
      </w:r>
      <w:r w:rsidR="00705720">
        <w:rPr>
          <w:rFonts w:cstheme="minorHAnsi"/>
        </w:rPr>
        <w:t xml:space="preserve"> </w:t>
      </w:r>
      <w:r w:rsidR="00705720" w:rsidRPr="00E90557">
        <w:rPr>
          <w:rFonts w:cstheme="minorHAnsi"/>
        </w:rPr>
        <w:t xml:space="preserve">Under Section 5 of the </w:t>
      </w:r>
      <w:r w:rsidR="00705720">
        <w:rPr>
          <w:rFonts w:cstheme="minorHAnsi"/>
        </w:rPr>
        <w:t xml:space="preserve">FTC </w:t>
      </w:r>
      <w:r w:rsidR="00705720" w:rsidRPr="00E90557">
        <w:rPr>
          <w:rFonts w:cstheme="minorHAnsi"/>
        </w:rPr>
        <w:t>Act</w:t>
      </w:r>
      <w:r w:rsidR="00705720">
        <w:rPr>
          <w:rFonts w:cstheme="minorHAnsi"/>
        </w:rPr>
        <w:t xml:space="preserve">, </w:t>
      </w:r>
      <w:r w:rsidR="00705720" w:rsidRPr="00E90557">
        <w:rPr>
          <w:rFonts w:cstheme="minorHAnsi"/>
        </w:rPr>
        <w:t>Commission File No. P221202</w:t>
      </w:r>
      <w:r w:rsidR="00705720">
        <w:rPr>
          <w:rFonts w:cstheme="minorHAnsi"/>
        </w:rPr>
        <w:t xml:space="preserve"> (Federal Trade Commission, Nov. </w:t>
      </w:r>
      <w:r w:rsidR="00705720" w:rsidRPr="00E90557">
        <w:rPr>
          <w:rFonts w:cstheme="minorHAnsi"/>
        </w:rPr>
        <w:t>10, 2022</w:t>
      </w:r>
      <w:r w:rsidR="00705720">
        <w:rPr>
          <w:rFonts w:cstheme="minorHAnsi"/>
        </w:rPr>
        <w:t xml:space="preserve">). Online </w:t>
      </w:r>
      <w:hyperlink r:id="rId1" w:history="1">
        <w:r w:rsidR="00705720" w:rsidRPr="00D7763A">
          <w:rPr>
            <w:rStyle w:val="Hyperlink"/>
            <w:rFonts w:cstheme="minorHAnsi"/>
          </w:rPr>
          <w:t>here</w:t>
        </w:r>
      </w:hyperlink>
      <w:r w:rsidR="00705720">
        <w:rPr>
          <w:rFonts w:cstheme="minorHAnsi"/>
        </w:rPr>
        <w:t>.</w:t>
      </w:r>
      <w:bookmarkEnd w:id="0"/>
    </w:p>
  </w:footnote>
  <w:footnote w:id="2">
    <w:p w14:paraId="29873DBE" w14:textId="3BA8CC29" w:rsidR="00F87229" w:rsidRDefault="00F87229" w:rsidP="00477CA7">
      <w:pPr>
        <w:pStyle w:val="FootnoteText"/>
        <w:contextualSpacing/>
        <w:rPr>
          <w:rFonts w:cstheme="minorHAnsi"/>
        </w:rPr>
      </w:pPr>
      <w:r w:rsidRPr="00DC1FC7">
        <w:rPr>
          <w:rStyle w:val="FootnoteReference"/>
          <w:rFonts w:cstheme="minorHAnsi"/>
        </w:rPr>
        <w:footnoteRef/>
      </w:r>
      <w:r w:rsidRPr="00DC1FC7">
        <w:rPr>
          <w:rFonts w:cstheme="minorHAnsi"/>
        </w:rPr>
        <w:t xml:space="preserve"> </w:t>
      </w:r>
      <w:r w:rsidR="00EC4C90" w:rsidRPr="00DC1FC7">
        <w:rPr>
          <w:rFonts w:cstheme="minorHAnsi"/>
        </w:rPr>
        <w:t>Lina Kahn</w:t>
      </w:r>
      <w:r w:rsidR="00EC4C90">
        <w:rPr>
          <w:rFonts w:cstheme="minorHAnsi"/>
        </w:rPr>
        <w:t xml:space="preserve">, </w:t>
      </w:r>
      <w:r w:rsidR="00330603">
        <w:rPr>
          <w:rFonts w:cstheme="minorHAnsi"/>
        </w:rPr>
        <w:t>Prepared remarks</w:t>
      </w:r>
      <w:r w:rsidR="00EC4C90">
        <w:rPr>
          <w:rFonts w:cstheme="minorHAnsi"/>
        </w:rPr>
        <w:t xml:space="preserve"> to </w:t>
      </w:r>
      <w:r w:rsidR="00EC4C90" w:rsidRPr="00DC1FC7">
        <w:rPr>
          <w:rFonts w:cstheme="minorHAnsi"/>
        </w:rPr>
        <w:t>Fordham</w:t>
      </w:r>
      <w:r w:rsidR="00EC4C90">
        <w:rPr>
          <w:rFonts w:cstheme="minorHAnsi"/>
        </w:rPr>
        <w:t xml:space="preserve"> </w:t>
      </w:r>
      <w:r w:rsidR="00EC4C90" w:rsidRPr="00DC1FC7">
        <w:rPr>
          <w:rFonts w:cstheme="minorHAnsi"/>
        </w:rPr>
        <w:t>Annual Conference on International Anti</w:t>
      </w:r>
      <w:r w:rsidR="00EC4C90">
        <w:rPr>
          <w:rFonts w:cstheme="minorHAnsi"/>
        </w:rPr>
        <w:t>t</w:t>
      </w:r>
      <w:r w:rsidR="00EC4C90" w:rsidRPr="00DC1FC7">
        <w:rPr>
          <w:rFonts w:cstheme="minorHAnsi"/>
        </w:rPr>
        <w:t>rust</w:t>
      </w:r>
      <w:r w:rsidR="00EC4C90">
        <w:rPr>
          <w:rFonts w:cstheme="minorHAnsi"/>
        </w:rPr>
        <w:t xml:space="preserve"> Law &amp; Policy</w:t>
      </w:r>
      <w:r w:rsidR="00EC4C90" w:rsidRPr="00DC1FC7">
        <w:rPr>
          <w:rFonts w:cstheme="minorHAnsi"/>
        </w:rPr>
        <w:t xml:space="preserve"> </w:t>
      </w:r>
      <w:r w:rsidR="00EC4C90">
        <w:rPr>
          <w:rFonts w:cstheme="minorHAnsi"/>
        </w:rPr>
        <w:t xml:space="preserve">(Federal Trade Commission, Sept. 16, 2022). Online </w:t>
      </w:r>
      <w:hyperlink r:id="rId2" w:history="1">
        <w:r w:rsidR="00EC4C90" w:rsidRPr="00462498">
          <w:rPr>
            <w:rStyle w:val="Hyperlink"/>
            <w:rFonts w:cstheme="minorHAnsi"/>
          </w:rPr>
          <w:t>here</w:t>
        </w:r>
      </w:hyperlink>
      <w:r w:rsidR="00EC4C90">
        <w:rPr>
          <w:rFonts w:cstheme="minorHAnsi"/>
        </w:rPr>
        <w:t>.</w:t>
      </w:r>
    </w:p>
    <w:p w14:paraId="55AD2646" w14:textId="77777777" w:rsidR="009C4D18" w:rsidRPr="00DC1FC7" w:rsidRDefault="009C4D18" w:rsidP="00477CA7">
      <w:pPr>
        <w:pStyle w:val="FootnoteText"/>
        <w:rPr>
          <w:rFonts w:cstheme="minorHAnsi"/>
        </w:rPr>
      </w:pPr>
    </w:p>
  </w:footnote>
  <w:footnote w:id="3">
    <w:p w14:paraId="44260C22" w14:textId="165381D3" w:rsidR="00B97CFC" w:rsidRPr="00F360DE" w:rsidRDefault="00746354" w:rsidP="00477CA7">
      <w:pPr>
        <w:pStyle w:val="FootnoteText"/>
        <w:rPr>
          <w:rFonts w:cstheme="minorHAnsi"/>
        </w:rPr>
      </w:pPr>
      <w:r w:rsidRPr="00DC1FC7">
        <w:rPr>
          <w:rStyle w:val="FootnoteReference"/>
          <w:rFonts w:cstheme="minorHAnsi"/>
        </w:rPr>
        <w:footnoteRef/>
      </w:r>
      <w:r w:rsidRPr="00DC1FC7">
        <w:rPr>
          <w:rFonts w:cstheme="minorHAnsi"/>
        </w:rPr>
        <w:t xml:space="preserve"> </w:t>
      </w:r>
      <w:r w:rsidR="009C4D18" w:rsidRPr="00D21BA3">
        <w:rPr>
          <w:rFonts w:cstheme="minorHAnsi"/>
        </w:rPr>
        <w:t>Alvaro</w:t>
      </w:r>
      <w:r w:rsidR="009C4D18">
        <w:rPr>
          <w:rFonts w:cstheme="minorHAnsi"/>
        </w:rPr>
        <w:t xml:space="preserve"> </w:t>
      </w:r>
      <w:r w:rsidR="009C4D18" w:rsidRPr="00D21BA3">
        <w:rPr>
          <w:rFonts w:cstheme="minorHAnsi"/>
        </w:rPr>
        <w:t>Bedoya</w:t>
      </w:r>
      <w:r w:rsidR="009C4D18">
        <w:rPr>
          <w:rFonts w:cstheme="minorHAnsi"/>
        </w:rPr>
        <w:t xml:space="preserve">, </w:t>
      </w:r>
      <w:r w:rsidR="009C4D18" w:rsidRPr="00D21BA3">
        <w:rPr>
          <w:rFonts w:cstheme="minorHAnsi"/>
          <w:i/>
          <w:iCs/>
        </w:rPr>
        <w:t>Returning to Fairness</w:t>
      </w:r>
      <w:r w:rsidR="009C4D18">
        <w:rPr>
          <w:rFonts w:cstheme="minorHAnsi"/>
          <w:i/>
          <w:iCs/>
        </w:rPr>
        <w:t xml:space="preserve">, </w:t>
      </w:r>
      <w:r w:rsidR="009C4D18" w:rsidRPr="00D21BA3">
        <w:rPr>
          <w:rFonts w:cstheme="minorHAnsi"/>
        </w:rPr>
        <w:t xml:space="preserve">Prepared </w:t>
      </w:r>
      <w:r w:rsidR="009C4D18">
        <w:rPr>
          <w:rFonts w:cstheme="minorHAnsi"/>
        </w:rPr>
        <w:t>r</w:t>
      </w:r>
      <w:r w:rsidR="009C4D18" w:rsidRPr="00D21BA3">
        <w:rPr>
          <w:rFonts w:cstheme="minorHAnsi"/>
        </w:rPr>
        <w:t xml:space="preserve">emarks </w:t>
      </w:r>
      <w:r w:rsidR="009C4D18">
        <w:rPr>
          <w:rFonts w:cstheme="minorHAnsi"/>
        </w:rPr>
        <w:t xml:space="preserve">to the </w:t>
      </w:r>
      <w:r w:rsidR="009C4D18" w:rsidRPr="00D21BA3">
        <w:rPr>
          <w:rFonts w:cstheme="minorHAnsi"/>
        </w:rPr>
        <w:t>Midwest Forum on Fair Markets: What the New Antimonopoly Vision Means for Main Street</w:t>
      </w:r>
      <w:r w:rsidR="009C4D18">
        <w:rPr>
          <w:rFonts w:cstheme="minorHAnsi"/>
        </w:rPr>
        <w:t xml:space="preserve"> (FTC, </w:t>
      </w:r>
      <w:r w:rsidR="009C4D18" w:rsidRPr="00D21BA3">
        <w:rPr>
          <w:rFonts w:cstheme="minorHAnsi"/>
        </w:rPr>
        <w:t>Sep</w:t>
      </w:r>
      <w:r w:rsidR="009C4D18">
        <w:rPr>
          <w:rFonts w:cstheme="minorHAnsi"/>
        </w:rPr>
        <w:t>t.</w:t>
      </w:r>
      <w:r w:rsidR="009C4D18" w:rsidRPr="00D21BA3">
        <w:rPr>
          <w:rFonts w:cstheme="minorHAnsi"/>
        </w:rPr>
        <w:t xml:space="preserve"> 22, 2022</w:t>
      </w:r>
      <w:r w:rsidR="009C4D18">
        <w:rPr>
          <w:rFonts w:cstheme="minorHAnsi"/>
        </w:rPr>
        <w:t xml:space="preserve">) Online </w:t>
      </w:r>
      <w:hyperlink r:id="rId3" w:history="1">
        <w:r w:rsidR="009C4D18" w:rsidRPr="00D21BA3">
          <w:rPr>
            <w:rStyle w:val="Hyperlink"/>
            <w:rFonts w:cstheme="minorHAnsi"/>
          </w:rPr>
          <w:t>here</w:t>
        </w:r>
      </w:hyperlink>
      <w:r w:rsidR="009C4D18">
        <w:rPr>
          <w:rFonts w:cstheme="minorHAnsi"/>
        </w:rPr>
        <w:t xml:space="preserve">. </w:t>
      </w:r>
    </w:p>
  </w:footnote>
  <w:footnote w:id="4">
    <w:p w14:paraId="04DC30BE" w14:textId="1CA84B27" w:rsidR="00C8241C" w:rsidRPr="00F360DE" w:rsidRDefault="00746354" w:rsidP="00477CA7">
      <w:pPr>
        <w:pStyle w:val="Heading1"/>
        <w:spacing w:before="0" w:beforeAutospacing="0" w:after="0" w:afterAutospacing="0"/>
        <w:rPr>
          <w:rFonts w:asciiTheme="minorHAnsi" w:hAnsiTheme="minorHAnsi" w:cstheme="minorHAnsi"/>
          <w:b w:val="0"/>
          <w:bCs w:val="0"/>
          <w:color w:val="222222"/>
          <w:sz w:val="20"/>
          <w:szCs w:val="20"/>
        </w:rPr>
      </w:pPr>
      <w:r w:rsidRPr="00DC1FC7">
        <w:rPr>
          <w:rStyle w:val="FootnoteReference"/>
          <w:rFonts w:asciiTheme="minorHAnsi" w:hAnsiTheme="minorHAnsi" w:cstheme="minorHAnsi"/>
          <w:b w:val="0"/>
          <w:bCs w:val="0"/>
          <w:sz w:val="20"/>
          <w:szCs w:val="20"/>
        </w:rPr>
        <w:footnoteRef/>
      </w:r>
      <w:r w:rsidRPr="00DC1FC7">
        <w:rPr>
          <w:rFonts w:asciiTheme="minorHAnsi" w:hAnsiTheme="minorHAnsi" w:cstheme="minorHAnsi"/>
          <w:b w:val="0"/>
          <w:bCs w:val="0"/>
          <w:sz w:val="20"/>
          <w:szCs w:val="20"/>
        </w:rPr>
        <w:t xml:space="preserve"> </w:t>
      </w:r>
      <w:r w:rsidR="00F360DE" w:rsidRPr="00F360DE">
        <w:rPr>
          <w:rFonts w:asciiTheme="minorHAnsi" w:hAnsiTheme="minorHAnsi" w:cstheme="minorHAnsi"/>
          <w:b w:val="0"/>
          <w:bCs w:val="0"/>
          <w:color w:val="222222"/>
          <w:sz w:val="20"/>
          <w:szCs w:val="20"/>
        </w:rPr>
        <w:t xml:space="preserve">Lina Khan, </w:t>
      </w:r>
      <w:r w:rsidR="00F360DE" w:rsidRPr="00B97CFC">
        <w:rPr>
          <w:rFonts w:asciiTheme="minorHAnsi" w:hAnsiTheme="minorHAnsi" w:cstheme="minorHAnsi"/>
          <w:b w:val="0"/>
          <w:bCs w:val="0"/>
          <w:i/>
          <w:iCs/>
          <w:color w:val="222222"/>
          <w:sz w:val="20"/>
          <w:szCs w:val="20"/>
        </w:rPr>
        <w:t>Amazon's Antitrust Paradox</w:t>
      </w:r>
      <w:r w:rsidR="00F360DE" w:rsidRPr="00F360DE">
        <w:rPr>
          <w:rFonts w:asciiTheme="minorHAnsi" w:hAnsiTheme="minorHAnsi" w:cstheme="minorHAnsi"/>
          <w:b w:val="0"/>
          <w:bCs w:val="0"/>
          <w:color w:val="222222"/>
          <w:sz w:val="20"/>
          <w:szCs w:val="20"/>
        </w:rPr>
        <w:t xml:space="preserve"> (Yale Law Journal, Vol. 126, Feb. 6, 2017) Online </w:t>
      </w:r>
      <w:hyperlink r:id="rId4" w:history="1">
        <w:r w:rsidR="00F360DE" w:rsidRPr="00F360DE">
          <w:rPr>
            <w:rStyle w:val="Hyperlink"/>
            <w:rFonts w:asciiTheme="minorHAnsi" w:hAnsiTheme="minorHAnsi" w:cstheme="minorHAnsi"/>
            <w:b w:val="0"/>
            <w:bCs w:val="0"/>
            <w:sz w:val="20"/>
            <w:szCs w:val="20"/>
          </w:rPr>
          <w:t>here</w:t>
        </w:r>
      </w:hyperlink>
      <w:r w:rsidR="00F360DE" w:rsidRPr="00F360DE">
        <w:rPr>
          <w:rFonts w:asciiTheme="minorHAnsi" w:hAnsiTheme="minorHAnsi" w:cstheme="minorHAnsi"/>
          <w:b w:val="0"/>
          <w:bCs w:val="0"/>
          <w:color w:val="222222"/>
          <w:sz w:val="20"/>
          <w:szCs w:val="20"/>
        </w:rPr>
        <w:t>.</w:t>
      </w:r>
    </w:p>
  </w:footnote>
  <w:footnote w:id="5">
    <w:p w14:paraId="2670C570" w14:textId="7F57E64A" w:rsidR="00746354" w:rsidRPr="00DC1FC7" w:rsidRDefault="00746354" w:rsidP="0038118D">
      <w:pPr>
        <w:spacing w:after="0" w:line="240" w:lineRule="auto"/>
      </w:pPr>
      <w:r w:rsidRPr="00DC1FC7">
        <w:rPr>
          <w:rStyle w:val="FootnoteReference"/>
          <w:rFonts w:cstheme="minorHAnsi"/>
        </w:rPr>
        <w:footnoteRef/>
      </w:r>
      <w:r w:rsidRPr="00DC1FC7">
        <w:rPr>
          <w:rFonts w:cstheme="minorHAnsi"/>
        </w:rPr>
        <w:t xml:space="preserve"> </w:t>
      </w:r>
      <w:r w:rsidR="00C8241C" w:rsidRPr="00C8241C">
        <w:rPr>
          <w:sz w:val="20"/>
          <w:szCs w:val="20"/>
        </w:rPr>
        <w:t xml:space="preserve">Trevor Wagener, </w:t>
      </w:r>
      <w:r w:rsidR="00C8241C" w:rsidRPr="00C8241C">
        <w:rPr>
          <w:i/>
          <w:iCs/>
          <w:sz w:val="20"/>
          <w:szCs w:val="20"/>
        </w:rPr>
        <w:t>The Curse of Tradeoffs: Neo-</w:t>
      </w:r>
      <w:proofErr w:type="spellStart"/>
      <w:r w:rsidR="00C8241C" w:rsidRPr="00C8241C">
        <w:rPr>
          <w:i/>
          <w:iCs/>
          <w:sz w:val="20"/>
          <w:szCs w:val="20"/>
        </w:rPr>
        <w:t>Brandeisians</w:t>
      </w:r>
      <w:proofErr w:type="spellEnd"/>
      <w:r w:rsidR="00C8241C" w:rsidRPr="00C8241C">
        <w:rPr>
          <w:i/>
          <w:iCs/>
          <w:sz w:val="20"/>
          <w:szCs w:val="20"/>
        </w:rPr>
        <w:t xml:space="preserve"> vs. Consumers</w:t>
      </w:r>
      <w:r w:rsidR="00C8241C" w:rsidRPr="00C8241C">
        <w:rPr>
          <w:sz w:val="20"/>
          <w:szCs w:val="20"/>
        </w:rPr>
        <w:t xml:space="preserve"> (Disruptive Competition Project, May 21, 2021). Online </w:t>
      </w:r>
      <w:hyperlink r:id="rId5" w:history="1">
        <w:r w:rsidR="00C8241C" w:rsidRPr="00C8241C">
          <w:rPr>
            <w:rStyle w:val="Hyperlink"/>
            <w:sz w:val="20"/>
            <w:szCs w:val="20"/>
          </w:rPr>
          <w:t>here</w:t>
        </w:r>
      </w:hyperlink>
      <w:r w:rsidR="00C8241C" w:rsidRPr="00C8241C">
        <w:rPr>
          <w:sz w:val="20"/>
          <w:szCs w:val="20"/>
        </w:rPr>
        <w:t>.</w:t>
      </w:r>
      <w:r w:rsidR="00C8241C">
        <w:t xml:space="preserve"> </w:t>
      </w:r>
    </w:p>
  </w:footnote>
  <w:footnote w:id="6">
    <w:p w14:paraId="4F532763" w14:textId="6A2A9DE4" w:rsidR="00746354" w:rsidRPr="00DC1FC7" w:rsidRDefault="00746354" w:rsidP="0038118D">
      <w:pPr>
        <w:pStyle w:val="NormalWeb"/>
        <w:spacing w:before="0" w:beforeAutospacing="0" w:after="0" w:afterAutospacing="0"/>
      </w:pPr>
      <w:r w:rsidRPr="00DC1FC7">
        <w:rPr>
          <w:rStyle w:val="FootnoteReference"/>
          <w:rFonts w:cstheme="minorHAnsi"/>
        </w:rPr>
        <w:footnoteRef/>
      </w:r>
      <w:r w:rsidRPr="00DC1FC7">
        <w:rPr>
          <w:rFonts w:cstheme="minorHAnsi"/>
        </w:rPr>
        <w:t xml:space="preserve"> </w:t>
      </w:r>
      <w:r w:rsidR="00477CA7" w:rsidRPr="001133FE">
        <w:rPr>
          <w:rFonts w:asciiTheme="minorHAnsi" w:hAnsiTheme="minorHAnsi" w:cstheme="minorHAnsi"/>
          <w:color w:val="000000" w:themeColor="text1"/>
          <w:sz w:val="20"/>
          <w:szCs w:val="20"/>
        </w:rPr>
        <w:t xml:space="preserve">Kenneth Elzinga and Micah Webber, </w:t>
      </w:r>
      <w:r w:rsidR="00477CA7" w:rsidRPr="001133FE">
        <w:rPr>
          <w:rFonts w:asciiTheme="minorHAnsi" w:hAnsiTheme="minorHAnsi" w:cstheme="minorHAnsi"/>
          <w:i/>
          <w:iCs/>
          <w:color w:val="000000" w:themeColor="text1"/>
          <w:sz w:val="20"/>
          <w:szCs w:val="20"/>
        </w:rPr>
        <w:t xml:space="preserve">Louis Brandeis and Contemporary Antitrust Enforcement </w:t>
      </w:r>
      <w:r w:rsidR="00477CA7" w:rsidRPr="001133FE">
        <w:rPr>
          <w:rFonts w:asciiTheme="minorHAnsi" w:hAnsiTheme="minorHAnsi" w:cstheme="minorHAnsi"/>
          <w:color w:val="000000" w:themeColor="text1"/>
          <w:sz w:val="20"/>
          <w:szCs w:val="20"/>
        </w:rPr>
        <w:t xml:space="preserve">(Touro Law Review, Vol. 33, Article 15, 2017). Online </w:t>
      </w:r>
      <w:hyperlink r:id="rId6" w:history="1">
        <w:r w:rsidR="00477CA7" w:rsidRPr="001133FE">
          <w:rPr>
            <w:rStyle w:val="Hyperlink"/>
            <w:rFonts w:asciiTheme="minorHAnsi" w:hAnsiTheme="minorHAnsi" w:cstheme="minorHAnsi"/>
            <w:sz w:val="20"/>
            <w:szCs w:val="20"/>
          </w:rPr>
          <w:t>here</w:t>
        </w:r>
      </w:hyperlink>
      <w:r w:rsidR="00477CA7" w:rsidRPr="001133FE">
        <w:rPr>
          <w:rFonts w:asciiTheme="minorHAnsi" w:hAnsiTheme="minorHAnsi" w:cstheme="minorHAnsi"/>
          <w:color w:val="000000" w:themeColor="text1"/>
          <w:sz w:val="20"/>
          <w:szCs w:val="20"/>
        </w:rPr>
        <w:t xml:space="preserve">. </w:t>
      </w:r>
    </w:p>
  </w:footnote>
  <w:footnote w:id="7">
    <w:p w14:paraId="0E983AC0" w14:textId="7FF81B27" w:rsidR="008352A5" w:rsidRPr="00DC1FC7" w:rsidRDefault="00746354" w:rsidP="00317A7E">
      <w:pPr>
        <w:pStyle w:val="NormalWeb"/>
        <w:spacing w:before="0" w:beforeAutospacing="0" w:after="0" w:afterAutospacing="0"/>
        <w:rPr>
          <w:rFonts w:cstheme="minorHAnsi"/>
        </w:rPr>
      </w:pPr>
      <w:r w:rsidRPr="00DC1FC7">
        <w:rPr>
          <w:rStyle w:val="FootnoteReference"/>
          <w:rFonts w:cstheme="minorHAnsi"/>
        </w:rPr>
        <w:footnoteRef/>
      </w:r>
      <w:r w:rsidRPr="00DC1FC7">
        <w:rPr>
          <w:rFonts w:cstheme="minorHAnsi"/>
        </w:rPr>
        <w:t xml:space="preserve"> </w:t>
      </w:r>
      <w:r w:rsidR="001F43B4" w:rsidRPr="001133FE">
        <w:rPr>
          <w:rFonts w:asciiTheme="minorHAnsi" w:hAnsiTheme="minorHAnsi" w:cstheme="minorHAnsi"/>
          <w:color w:val="000000" w:themeColor="text1"/>
          <w:sz w:val="20"/>
          <w:szCs w:val="20"/>
        </w:rPr>
        <w:t>Lauren Feiner</w:t>
      </w:r>
      <w:r w:rsidR="001F43B4">
        <w:rPr>
          <w:rFonts w:asciiTheme="minorHAnsi" w:hAnsiTheme="minorHAnsi" w:cstheme="minorHAnsi"/>
          <w:color w:val="000000" w:themeColor="text1"/>
          <w:sz w:val="20"/>
          <w:szCs w:val="20"/>
        </w:rPr>
        <w:t xml:space="preserve">, </w:t>
      </w:r>
      <w:r w:rsidR="001F43B4" w:rsidRPr="001133FE">
        <w:rPr>
          <w:rFonts w:asciiTheme="minorHAnsi" w:hAnsiTheme="minorHAnsi" w:cstheme="minorHAnsi"/>
          <w:i/>
          <w:iCs/>
          <w:color w:val="000000" w:themeColor="text1"/>
          <w:sz w:val="20"/>
          <w:szCs w:val="20"/>
        </w:rPr>
        <w:t>FTC Chair Lina Khan Outlines New Vision for Antitrust Enforcement, Consumer Protection</w:t>
      </w:r>
      <w:r w:rsidR="001F43B4">
        <w:rPr>
          <w:rFonts w:asciiTheme="minorHAnsi" w:hAnsiTheme="minorHAnsi" w:cstheme="minorHAnsi"/>
          <w:i/>
          <w:iCs/>
          <w:color w:val="000000" w:themeColor="text1"/>
          <w:sz w:val="20"/>
          <w:szCs w:val="20"/>
        </w:rPr>
        <w:t xml:space="preserve"> </w:t>
      </w:r>
      <w:r w:rsidR="001F43B4">
        <w:rPr>
          <w:rFonts w:asciiTheme="minorHAnsi" w:hAnsiTheme="minorHAnsi" w:cstheme="minorHAnsi"/>
          <w:color w:val="000000" w:themeColor="text1"/>
          <w:sz w:val="20"/>
          <w:szCs w:val="20"/>
        </w:rPr>
        <w:t xml:space="preserve">(CNBC, Sept. 23, 2021). Online </w:t>
      </w:r>
      <w:hyperlink r:id="rId7" w:history="1">
        <w:r w:rsidR="001F43B4" w:rsidRPr="00845F82">
          <w:rPr>
            <w:rStyle w:val="Hyperlink"/>
            <w:rFonts w:asciiTheme="minorHAnsi" w:hAnsiTheme="minorHAnsi" w:cstheme="minorHAnsi"/>
            <w:sz w:val="20"/>
            <w:szCs w:val="20"/>
          </w:rPr>
          <w:t>here</w:t>
        </w:r>
      </w:hyperlink>
      <w:r w:rsidR="001F43B4">
        <w:rPr>
          <w:rFonts w:asciiTheme="minorHAnsi" w:hAnsiTheme="minorHAnsi" w:cstheme="minorHAnsi"/>
          <w:color w:val="000000" w:themeColor="text1"/>
          <w:sz w:val="20"/>
          <w:szCs w:val="20"/>
        </w:rPr>
        <w:t xml:space="preserve">. </w:t>
      </w:r>
    </w:p>
  </w:footnote>
  <w:footnote w:id="8">
    <w:p w14:paraId="58958D68" w14:textId="23690BB2" w:rsidR="004F3243" w:rsidRDefault="004F3243" w:rsidP="00317A7E">
      <w:pPr>
        <w:pStyle w:val="FootnoteText"/>
        <w:rPr>
          <w:rFonts w:cstheme="minorHAnsi"/>
          <w:color w:val="000000" w:themeColor="text1"/>
        </w:rPr>
      </w:pPr>
      <w:r w:rsidRPr="00DC1FC7">
        <w:rPr>
          <w:rStyle w:val="FootnoteReference"/>
          <w:rFonts w:cstheme="minorHAnsi"/>
        </w:rPr>
        <w:footnoteRef/>
      </w:r>
      <w:r w:rsidRPr="00DC1FC7">
        <w:rPr>
          <w:rFonts w:cstheme="minorHAnsi"/>
        </w:rPr>
        <w:t xml:space="preserve"> </w:t>
      </w:r>
      <w:r w:rsidR="001F43B4" w:rsidRPr="00A449AD">
        <w:rPr>
          <w:rFonts w:cstheme="minorHAnsi"/>
          <w:i/>
          <w:iCs/>
          <w:color w:val="000000" w:themeColor="text1"/>
        </w:rPr>
        <w:t>AMG v. FTC: US Supreme Court Severely Limits FTC’s Ability to Seek Monetary Relief</w:t>
      </w:r>
      <w:r w:rsidR="001F43B4">
        <w:rPr>
          <w:rFonts w:cstheme="minorHAnsi"/>
          <w:i/>
          <w:iCs/>
          <w:color w:val="000000" w:themeColor="text1"/>
        </w:rPr>
        <w:t xml:space="preserve"> </w:t>
      </w:r>
      <w:r w:rsidR="001F43B4">
        <w:rPr>
          <w:rFonts w:cstheme="minorHAnsi"/>
          <w:color w:val="000000" w:themeColor="text1"/>
        </w:rPr>
        <w:t>(</w:t>
      </w:r>
      <w:r w:rsidR="001F43B4" w:rsidRPr="004E5268">
        <w:rPr>
          <w:rFonts w:cstheme="minorHAnsi"/>
          <w:color w:val="000000" w:themeColor="text1"/>
        </w:rPr>
        <w:t>Cooley Alert</w:t>
      </w:r>
      <w:r w:rsidR="001F43B4">
        <w:rPr>
          <w:rFonts w:cstheme="minorHAnsi"/>
          <w:color w:val="000000" w:themeColor="text1"/>
        </w:rPr>
        <w:t xml:space="preserve">, </w:t>
      </w:r>
      <w:r w:rsidR="001F43B4" w:rsidRPr="004E5268">
        <w:rPr>
          <w:rFonts w:cstheme="minorHAnsi"/>
          <w:color w:val="000000" w:themeColor="text1"/>
        </w:rPr>
        <w:t>April 29, 2021</w:t>
      </w:r>
      <w:r w:rsidR="001F43B4">
        <w:rPr>
          <w:rFonts w:cstheme="minorHAnsi"/>
          <w:color w:val="000000" w:themeColor="text1"/>
        </w:rPr>
        <w:t xml:space="preserve">) Online </w:t>
      </w:r>
      <w:hyperlink r:id="rId8" w:history="1">
        <w:r w:rsidR="001F43B4" w:rsidRPr="00A449AD">
          <w:rPr>
            <w:rStyle w:val="Hyperlink"/>
            <w:rFonts w:cstheme="minorHAnsi"/>
          </w:rPr>
          <w:t>here</w:t>
        </w:r>
      </w:hyperlink>
      <w:r w:rsidR="001F43B4">
        <w:rPr>
          <w:rFonts w:cstheme="minorHAnsi"/>
          <w:color w:val="000000" w:themeColor="text1"/>
        </w:rPr>
        <w:t>.</w:t>
      </w:r>
    </w:p>
    <w:p w14:paraId="0FF26CC8" w14:textId="77777777" w:rsidR="00317A7E" w:rsidRPr="00DC1FC7" w:rsidRDefault="00317A7E" w:rsidP="00317A7E">
      <w:pPr>
        <w:pStyle w:val="FootnoteText"/>
        <w:rPr>
          <w:rFonts w:cstheme="minorHAnsi"/>
        </w:rPr>
      </w:pPr>
    </w:p>
  </w:footnote>
  <w:footnote w:id="9">
    <w:p w14:paraId="1908F464" w14:textId="6C369383" w:rsidR="00746354" w:rsidRPr="00DC1FC7" w:rsidRDefault="00746354" w:rsidP="00317A7E">
      <w:pPr>
        <w:pStyle w:val="FootnoteText"/>
        <w:rPr>
          <w:rFonts w:cstheme="minorHAnsi"/>
        </w:rPr>
      </w:pPr>
      <w:r w:rsidRPr="00DC1FC7">
        <w:rPr>
          <w:rStyle w:val="FootnoteReference"/>
          <w:rFonts w:cstheme="minorHAnsi"/>
        </w:rPr>
        <w:footnoteRef/>
      </w:r>
      <w:r w:rsidRPr="00DC1FC7">
        <w:rPr>
          <w:rFonts w:cstheme="minorHAnsi"/>
        </w:rPr>
        <w:t xml:space="preserve"> </w:t>
      </w:r>
      <w:r w:rsidR="00961D95" w:rsidRPr="00A449AD">
        <w:rPr>
          <w:rFonts w:cstheme="minorHAnsi"/>
          <w:color w:val="000000" w:themeColor="text1"/>
        </w:rPr>
        <w:t>Richard J. Pierce, Jr.</w:t>
      </w:r>
      <w:r w:rsidR="00961D95">
        <w:rPr>
          <w:rFonts w:cstheme="minorHAnsi"/>
          <w:color w:val="000000" w:themeColor="text1"/>
        </w:rPr>
        <w:t xml:space="preserve">, </w:t>
      </w:r>
      <w:r w:rsidR="00961D95" w:rsidRPr="002D1BBF">
        <w:rPr>
          <w:rFonts w:cstheme="minorHAnsi"/>
          <w:i/>
          <w:iCs/>
          <w:color w:val="000000" w:themeColor="text1"/>
        </w:rPr>
        <w:t>Important Changes at the Intersection of Antitrust and Administrative Law</w:t>
      </w:r>
      <w:r w:rsidR="00961D95">
        <w:rPr>
          <w:rFonts w:cstheme="minorHAnsi"/>
          <w:i/>
          <w:iCs/>
          <w:color w:val="000000" w:themeColor="text1"/>
        </w:rPr>
        <w:t xml:space="preserve"> </w:t>
      </w:r>
      <w:r w:rsidR="00961D95">
        <w:rPr>
          <w:rFonts w:cstheme="minorHAnsi"/>
          <w:color w:val="000000" w:themeColor="text1"/>
        </w:rPr>
        <w:t xml:space="preserve">(The Regulator Review, </w:t>
      </w:r>
      <w:r w:rsidR="00961D95" w:rsidRPr="00A449AD">
        <w:rPr>
          <w:rFonts w:cstheme="minorHAnsi"/>
          <w:color w:val="000000" w:themeColor="text1"/>
        </w:rPr>
        <w:t>Mar</w:t>
      </w:r>
      <w:r w:rsidR="00961D95">
        <w:rPr>
          <w:rFonts w:cstheme="minorHAnsi"/>
          <w:color w:val="000000" w:themeColor="text1"/>
        </w:rPr>
        <w:t>ch</w:t>
      </w:r>
      <w:r w:rsidR="00961D95" w:rsidRPr="00A449AD">
        <w:rPr>
          <w:rFonts w:cstheme="minorHAnsi"/>
          <w:color w:val="000000" w:themeColor="text1"/>
        </w:rPr>
        <w:t xml:space="preserve"> 21, 2022</w:t>
      </w:r>
      <w:r w:rsidR="00961D95">
        <w:rPr>
          <w:rFonts w:cstheme="minorHAnsi"/>
          <w:color w:val="000000" w:themeColor="text1"/>
        </w:rPr>
        <w:t xml:space="preserve">) Online </w:t>
      </w:r>
      <w:hyperlink r:id="rId9" w:history="1">
        <w:r w:rsidR="00961D95" w:rsidRPr="002D1BBF">
          <w:rPr>
            <w:rStyle w:val="Hyperlink"/>
            <w:rFonts w:cstheme="minorHAnsi"/>
          </w:rPr>
          <w:t>here</w:t>
        </w:r>
      </w:hyperlink>
      <w:r w:rsidR="00961D95">
        <w:rPr>
          <w:rFonts w:cstheme="minorHAnsi"/>
          <w:color w:val="000000" w:themeColor="text1"/>
        </w:rPr>
        <w:t xml:space="preserve">. </w:t>
      </w:r>
    </w:p>
  </w:footnote>
  <w:footnote w:id="10">
    <w:p w14:paraId="07298286" w14:textId="6243E236" w:rsidR="00B60EB5" w:rsidRDefault="00B60EB5" w:rsidP="00317A7E">
      <w:pPr>
        <w:pStyle w:val="FootnoteText"/>
      </w:pPr>
      <w:r w:rsidRPr="00DC1FC7">
        <w:rPr>
          <w:rStyle w:val="FootnoteReference"/>
          <w:rFonts w:cstheme="minorHAnsi"/>
        </w:rPr>
        <w:footnoteRef/>
      </w:r>
      <w:r w:rsidRPr="00DC1FC7">
        <w:rPr>
          <w:rFonts w:cstheme="minorHAnsi"/>
        </w:rPr>
        <w:t xml:space="preserve"> </w:t>
      </w:r>
      <w:r w:rsidR="00700C29" w:rsidRPr="00BA2B1F">
        <w:t xml:space="preserve">Kenneth Heyer, </w:t>
      </w:r>
      <w:r w:rsidR="00700C29" w:rsidRPr="00AF2421">
        <w:rPr>
          <w:i/>
          <w:iCs/>
        </w:rPr>
        <w:t xml:space="preserve">Consumer Welfare and the Legacy of Robert Bork </w:t>
      </w:r>
      <w:r w:rsidR="00700C29">
        <w:t xml:space="preserve">(University of Chicago </w:t>
      </w:r>
      <w:r w:rsidR="00700C29" w:rsidRPr="009F2FFF">
        <w:t>Journal of Law and Economics, vol. 57</w:t>
      </w:r>
      <w:r w:rsidR="00700C29">
        <w:t xml:space="preserve">, </w:t>
      </w:r>
      <w:r w:rsidR="00700C29" w:rsidRPr="009F2FFF">
        <w:t>August 2014</w:t>
      </w:r>
      <w:r w:rsidR="00700C29">
        <w:t xml:space="preserve">) Online </w:t>
      </w:r>
      <w:hyperlink r:id="rId10" w:history="1">
        <w:r w:rsidR="00700C29" w:rsidRPr="004E5C0C">
          <w:rPr>
            <w:rStyle w:val="Hyperlink"/>
          </w:rPr>
          <w:t>here</w:t>
        </w:r>
      </w:hyperlink>
      <w:r w:rsidR="00700C29">
        <w:t>.</w:t>
      </w:r>
    </w:p>
    <w:p w14:paraId="614A1C3D" w14:textId="77777777" w:rsidR="00317A7E" w:rsidRPr="00DC1FC7" w:rsidRDefault="00317A7E" w:rsidP="00317A7E">
      <w:pPr>
        <w:pStyle w:val="FootnoteText"/>
        <w:rPr>
          <w:rFonts w:cstheme="minorHAnsi"/>
        </w:rPr>
      </w:pPr>
    </w:p>
  </w:footnote>
  <w:footnote w:id="11">
    <w:p w14:paraId="3654943F" w14:textId="04C5FB9C" w:rsidR="00317A7E"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317A7E" w:rsidRPr="00DC1FC7">
        <w:rPr>
          <w:rFonts w:cstheme="minorHAnsi"/>
        </w:rPr>
        <w:t xml:space="preserve">Robert Bork, </w:t>
      </w:r>
      <w:r w:rsidR="00317A7E" w:rsidRPr="00DC1FC7">
        <w:rPr>
          <w:rFonts w:cstheme="minorHAnsi"/>
          <w:i/>
          <w:iCs/>
        </w:rPr>
        <w:t>The Anti</w:t>
      </w:r>
      <w:r w:rsidR="00317A7E">
        <w:rPr>
          <w:rFonts w:cstheme="minorHAnsi"/>
          <w:i/>
          <w:iCs/>
        </w:rPr>
        <w:t>t</w:t>
      </w:r>
      <w:r w:rsidR="00317A7E" w:rsidRPr="00DC1FC7">
        <w:rPr>
          <w:rFonts w:cstheme="minorHAnsi"/>
          <w:i/>
          <w:iCs/>
        </w:rPr>
        <w:t>rust Paradox</w:t>
      </w:r>
      <w:r w:rsidR="00317A7E">
        <w:rPr>
          <w:rFonts w:cstheme="minorHAnsi"/>
          <w:i/>
          <w:iCs/>
        </w:rPr>
        <w:t xml:space="preserve">: A Policy at War with Itself </w:t>
      </w:r>
      <w:r w:rsidR="00317A7E" w:rsidRPr="00DB51D2">
        <w:rPr>
          <w:rFonts w:cstheme="minorHAnsi"/>
        </w:rPr>
        <w:t>(Simon &amp; Schuster,</w:t>
      </w:r>
      <w:r w:rsidR="00317A7E">
        <w:rPr>
          <w:rFonts w:cstheme="minorHAnsi"/>
          <w:i/>
          <w:iCs/>
        </w:rPr>
        <w:t xml:space="preserve"> </w:t>
      </w:r>
      <w:r w:rsidR="00317A7E" w:rsidRPr="00DC1FC7">
        <w:rPr>
          <w:rFonts w:cstheme="minorHAnsi"/>
        </w:rPr>
        <w:t>1978</w:t>
      </w:r>
      <w:r w:rsidR="00317A7E">
        <w:rPr>
          <w:rFonts w:cstheme="minorHAnsi"/>
        </w:rPr>
        <w:t>)</w:t>
      </w:r>
      <w:r w:rsidR="00317A7E" w:rsidRPr="00DC1FC7">
        <w:rPr>
          <w:rFonts w:cstheme="minorHAnsi"/>
        </w:rPr>
        <w:t xml:space="preserve"> </w:t>
      </w:r>
      <w:r w:rsidR="00317A7E">
        <w:rPr>
          <w:rFonts w:cstheme="minorHAnsi"/>
        </w:rPr>
        <w:t>p</w:t>
      </w:r>
      <w:r w:rsidR="000A3C13">
        <w:rPr>
          <w:rFonts w:cstheme="minorHAnsi"/>
        </w:rPr>
        <w:t>.</w:t>
      </w:r>
      <w:r w:rsidR="00317A7E">
        <w:rPr>
          <w:rFonts w:cstheme="minorHAnsi"/>
        </w:rPr>
        <w:t xml:space="preserve"> </w:t>
      </w:r>
      <w:r w:rsidR="00317A7E" w:rsidRPr="00DC1FC7">
        <w:rPr>
          <w:rFonts w:cstheme="minorHAnsi"/>
        </w:rPr>
        <w:t>67</w:t>
      </w:r>
    </w:p>
  </w:footnote>
  <w:footnote w:id="12">
    <w:p w14:paraId="7F07AC42" w14:textId="3A523C41" w:rsidR="00F156BA" w:rsidRPr="00DC1FC7" w:rsidRDefault="00DC1FC7" w:rsidP="00DC1FC7">
      <w:pPr>
        <w:pStyle w:val="FootnoteText"/>
        <w:rPr>
          <w:rFonts w:cstheme="minorHAnsi"/>
        </w:rPr>
      </w:pPr>
      <w:r w:rsidRPr="00DC1FC7">
        <w:rPr>
          <w:rStyle w:val="FootnoteReference"/>
          <w:rFonts w:cstheme="minorHAnsi"/>
        </w:rPr>
        <w:footnoteRef/>
      </w:r>
      <w:r w:rsidRPr="00DC1FC7">
        <w:rPr>
          <w:rFonts w:cstheme="minorHAnsi"/>
        </w:rPr>
        <w:t xml:space="preserve"> Bork, p. 50</w:t>
      </w:r>
    </w:p>
  </w:footnote>
  <w:footnote w:id="13">
    <w:p w14:paraId="3228A154" w14:textId="64686F03" w:rsidR="00DC1FC7" w:rsidRDefault="00DC1FC7" w:rsidP="00DC1FC7">
      <w:pPr>
        <w:pStyle w:val="FootnoteText"/>
        <w:rPr>
          <w:rFonts w:cstheme="minorHAnsi"/>
        </w:rPr>
      </w:pPr>
      <w:r w:rsidRPr="00DC1FC7">
        <w:rPr>
          <w:rStyle w:val="FootnoteReference"/>
          <w:rFonts w:cstheme="minorHAnsi"/>
        </w:rPr>
        <w:footnoteRef/>
      </w:r>
      <w:r w:rsidRPr="00DC1FC7">
        <w:rPr>
          <w:rFonts w:cstheme="minorHAnsi"/>
        </w:rPr>
        <w:t xml:space="preserve"> Bork, p. 67</w:t>
      </w:r>
    </w:p>
    <w:p w14:paraId="1577BCDB" w14:textId="77777777" w:rsidR="00F156BA" w:rsidRPr="00DC1FC7" w:rsidRDefault="00F156BA" w:rsidP="00DC1FC7">
      <w:pPr>
        <w:pStyle w:val="FootnoteText"/>
        <w:rPr>
          <w:rFonts w:cstheme="minorHAnsi"/>
        </w:rPr>
      </w:pPr>
    </w:p>
  </w:footnote>
  <w:footnote w:id="14">
    <w:p w14:paraId="40917E8A" w14:textId="7FDE665F" w:rsidR="00F156BA" w:rsidRPr="00DC1FC7" w:rsidRDefault="00DC1FC7" w:rsidP="0038118D">
      <w:pPr>
        <w:pStyle w:val="FootnoteText"/>
        <w:jc w:val="both"/>
        <w:rPr>
          <w:rFonts w:cstheme="minorHAnsi"/>
        </w:rPr>
      </w:pPr>
      <w:r w:rsidRPr="00DC1FC7">
        <w:rPr>
          <w:rStyle w:val="FootnoteReference"/>
          <w:rFonts w:cstheme="minorHAnsi"/>
        </w:rPr>
        <w:footnoteRef/>
      </w:r>
      <w:r w:rsidRPr="00DC1FC7">
        <w:rPr>
          <w:rFonts w:cstheme="minorHAnsi"/>
        </w:rPr>
        <w:t xml:space="preserve"> </w:t>
      </w:r>
      <w:r w:rsidR="00846084" w:rsidRPr="007B1581">
        <w:rPr>
          <w:rFonts w:cstheme="minorHAnsi"/>
          <w:i/>
          <w:iCs/>
        </w:rPr>
        <w:t>A Brief History of the Consumer Welfare Standard</w:t>
      </w:r>
      <w:r w:rsidR="00846084">
        <w:rPr>
          <w:rFonts w:cstheme="minorHAnsi"/>
        </w:rPr>
        <w:t xml:space="preserve"> (Springboard, May 28, 2020) Online </w:t>
      </w:r>
      <w:hyperlink r:id="rId11" w:history="1">
        <w:r w:rsidR="00846084" w:rsidRPr="00B02D7E">
          <w:rPr>
            <w:rStyle w:val="Hyperlink"/>
            <w:rFonts w:cstheme="minorHAnsi"/>
          </w:rPr>
          <w:t>here</w:t>
        </w:r>
      </w:hyperlink>
      <w:r w:rsidR="00846084">
        <w:rPr>
          <w:rFonts w:cstheme="minorHAnsi"/>
        </w:rPr>
        <w:t xml:space="preserve">. </w:t>
      </w:r>
    </w:p>
  </w:footnote>
  <w:footnote w:id="15">
    <w:p w14:paraId="038EC848" w14:textId="120A45C6" w:rsidR="00F156BA" w:rsidRPr="00DC1FC7" w:rsidRDefault="00DC1FC7" w:rsidP="00DC1FC7">
      <w:pPr>
        <w:pStyle w:val="FootnoteText"/>
        <w:rPr>
          <w:rFonts w:cstheme="minorHAnsi"/>
        </w:rPr>
      </w:pPr>
      <w:r w:rsidRPr="00DC1FC7">
        <w:rPr>
          <w:rStyle w:val="FootnoteReference"/>
          <w:rFonts w:cstheme="minorHAnsi"/>
        </w:rPr>
        <w:footnoteRef/>
      </w:r>
      <w:r w:rsidR="00F156BA" w:rsidRPr="00F156BA">
        <w:rPr>
          <w:rFonts w:cstheme="minorHAnsi"/>
        </w:rPr>
        <w:t xml:space="preserve"> </w:t>
      </w:r>
      <w:r w:rsidR="00F156BA" w:rsidRPr="007B1581">
        <w:rPr>
          <w:rFonts w:cstheme="minorHAnsi"/>
        </w:rPr>
        <w:t xml:space="preserve">David Dayen, </w:t>
      </w:r>
      <w:r w:rsidR="00F156BA" w:rsidRPr="00F156BA">
        <w:rPr>
          <w:rFonts w:cstheme="minorHAnsi"/>
          <w:i/>
          <w:iCs/>
        </w:rPr>
        <w:t>The Rehabilitation of Antitrust</w:t>
      </w:r>
      <w:r w:rsidR="00F156BA" w:rsidRPr="007B1581">
        <w:rPr>
          <w:rFonts w:cstheme="minorHAnsi"/>
        </w:rPr>
        <w:t xml:space="preserve"> (</w:t>
      </w:r>
      <w:r w:rsidR="00F156BA" w:rsidRPr="00F156BA">
        <w:rPr>
          <w:rFonts w:cstheme="minorHAnsi"/>
        </w:rPr>
        <w:t>The American Prospect,</w:t>
      </w:r>
      <w:r w:rsidR="00F156BA" w:rsidRPr="007B1581">
        <w:rPr>
          <w:rFonts w:cstheme="minorHAnsi"/>
        </w:rPr>
        <w:t xml:space="preserve"> Dec</w:t>
      </w:r>
      <w:r w:rsidR="00F156BA">
        <w:rPr>
          <w:rFonts w:cstheme="minorHAnsi"/>
        </w:rPr>
        <w:t>.</w:t>
      </w:r>
      <w:r w:rsidR="00F156BA" w:rsidRPr="007B1581">
        <w:rPr>
          <w:rFonts w:cstheme="minorHAnsi"/>
        </w:rPr>
        <w:t xml:space="preserve"> 22, 2017)</w:t>
      </w:r>
      <w:r w:rsidR="00D5072F">
        <w:rPr>
          <w:rFonts w:cstheme="minorHAnsi"/>
        </w:rPr>
        <w:t xml:space="preserve"> Online </w:t>
      </w:r>
      <w:hyperlink r:id="rId12" w:history="1">
        <w:r w:rsidR="00D5072F" w:rsidRPr="00D5072F">
          <w:rPr>
            <w:rStyle w:val="Hyperlink"/>
            <w:rFonts w:cstheme="minorHAnsi"/>
          </w:rPr>
          <w:t>here</w:t>
        </w:r>
      </w:hyperlink>
      <w:r w:rsidR="00D5072F">
        <w:rPr>
          <w:rFonts w:cstheme="minorHAnsi"/>
        </w:rPr>
        <w:t xml:space="preserve">. </w:t>
      </w:r>
    </w:p>
  </w:footnote>
  <w:footnote w:id="16">
    <w:p w14:paraId="2A5074F1" w14:textId="2F2368C4" w:rsidR="0084608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Ibid</w:t>
      </w:r>
      <w:r w:rsidR="00F156BA">
        <w:rPr>
          <w:rFonts w:cstheme="minorHAnsi"/>
        </w:rPr>
        <w:t xml:space="preserve">. </w:t>
      </w:r>
    </w:p>
  </w:footnote>
  <w:footnote w:id="17">
    <w:p w14:paraId="606D29D4" w14:textId="7C76E4A4" w:rsidR="00F156BA"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06567B" w:rsidRPr="00F360DE">
        <w:rPr>
          <w:rFonts w:cstheme="minorHAnsi"/>
          <w:color w:val="222222"/>
        </w:rPr>
        <w:t xml:space="preserve">Khan, </w:t>
      </w:r>
      <w:r w:rsidR="0006567B" w:rsidRPr="00B97CFC">
        <w:rPr>
          <w:rFonts w:cstheme="minorHAnsi"/>
          <w:i/>
          <w:iCs/>
          <w:color w:val="222222"/>
        </w:rPr>
        <w:t>Amazon's Antitrust Paradox</w:t>
      </w:r>
    </w:p>
  </w:footnote>
  <w:footnote w:id="18">
    <w:p w14:paraId="06E5F2DE" w14:textId="24A9C635"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80763A" w:rsidRPr="00E97A3A">
        <w:rPr>
          <w:rFonts w:cstheme="minorHAnsi"/>
        </w:rPr>
        <w:t>Robert P. Murphy</w:t>
      </w:r>
      <w:r w:rsidR="0080763A">
        <w:rPr>
          <w:rFonts w:cstheme="minorHAnsi"/>
        </w:rPr>
        <w:t xml:space="preserve">, </w:t>
      </w:r>
      <w:r w:rsidR="0080763A" w:rsidRPr="00E97A3A">
        <w:rPr>
          <w:rFonts w:cstheme="minorHAnsi"/>
          <w:i/>
          <w:iCs/>
        </w:rPr>
        <w:t>Consumer Sovereignty: What Mises Meant</w:t>
      </w:r>
      <w:r w:rsidR="0080763A">
        <w:rPr>
          <w:rFonts w:cstheme="minorHAnsi"/>
          <w:i/>
          <w:iCs/>
        </w:rPr>
        <w:t xml:space="preserve"> </w:t>
      </w:r>
      <w:r w:rsidR="0080763A" w:rsidRPr="00E97A3A">
        <w:rPr>
          <w:rFonts w:cstheme="minorHAnsi"/>
        </w:rPr>
        <w:t>(</w:t>
      </w:r>
      <w:r w:rsidR="0080763A">
        <w:rPr>
          <w:rFonts w:cstheme="minorHAnsi"/>
        </w:rPr>
        <w:t xml:space="preserve">Mises Institute, Nov. 11, 2003) Online </w:t>
      </w:r>
      <w:hyperlink r:id="rId13" w:history="1">
        <w:r w:rsidR="0080763A" w:rsidRPr="003B16AE">
          <w:rPr>
            <w:rStyle w:val="Hyperlink"/>
            <w:rFonts w:cstheme="minorHAnsi"/>
          </w:rPr>
          <w:t>here</w:t>
        </w:r>
      </w:hyperlink>
      <w:r w:rsidR="0080763A">
        <w:rPr>
          <w:rFonts w:cstheme="minorHAnsi"/>
        </w:rPr>
        <w:t>.</w:t>
      </w:r>
    </w:p>
    <w:p w14:paraId="3EA2EFC3" w14:textId="77777777" w:rsidR="00746354" w:rsidRPr="00DC1FC7" w:rsidRDefault="00746354" w:rsidP="00746354">
      <w:pPr>
        <w:pStyle w:val="FootnoteText"/>
        <w:rPr>
          <w:rFonts w:cstheme="minorHAnsi"/>
        </w:rPr>
      </w:pPr>
    </w:p>
  </w:footnote>
  <w:footnote w:id="19">
    <w:p w14:paraId="07033951" w14:textId="188D1C49" w:rsidR="00B33C7F" w:rsidRPr="0080763A" w:rsidRDefault="00B33C7F" w:rsidP="0080763A">
      <w:pPr>
        <w:rPr>
          <w:rFonts w:cstheme="minorHAnsi"/>
          <w:sz w:val="20"/>
          <w:szCs w:val="20"/>
        </w:rPr>
      </w:pPr>
      <w:r w:rsidRPr="00DC1FC7">
        <w:rPr>
          <w:rStyle w:val="FootnoteReference"/>
          <w:rFonts w:cstheme="minorHAnsi"/>
        </w:rPr>
        <w:footnoteRef/>
      </w:r>
      <w:r w:rsidRPr="00DC1FC7">
        <w:rPr>
          <w:rFonts w:cstheme="minorHAnsi"/>
        </w:rPr>
        <w:t xml:space="preserve"> </w:t>
      </w:r>
      <w:r w:rsidR="0080763A" w:rsidRPr="003B16AE">
        <w:rPr>
          <w:rFonts w:cstheme="minorHAnsi"/>
          <w:sz w:val="20"/>
          <w:szCs w:val="20"/>
        </w:rPr>
        <w:t>Alden Abbott</w:t>
      </w:r>
      <w:r w:rsidR="0080763A">
        <w:rPr>
          <w:rFonts w:cstheme="minorHAnsi"/>
          <w:sz w:val="20"/>
          <w:szCs w:val="20"/>
        </w:rPr>
        <w:t xml:space="preserve">, </w:t>
      </w:r>
      <w:r w:rsidR="0080763A" w:rsidRPr="003B16AE">
        <w:rPr>
          <w:rFonts w:cstheme="minorHAnsi"/>
          <w:i/>
          <w:iCs/>
          <w:sz w:val="20"/>
          <w:szCs w:val="20"/>
        </w:rPr>
        <w:t xml:space="preserve">The Consumer Welfare Standard and Antitrust Enforcement: </w:t>
      </w:r>
      <w:r w:rsidR="0080763A">
        <w:rPr>
          <w:rFonts w:cstheme="minorHAnsi"/>
          <w:i/>
          <w:iCs/>
          <w:sz w:val="20"/>
          <w:szCs w:val="20"/>
        </w:rPr>
        <w:t>A</w:t>
      </w:r>
      <w:r w:rsidR="0080763A" w:rsidRPr="003B16AE">
        <w:rPr>
          <w:rFonts w:cstheme="minorHAnsi"/>
          <w:i/>
          <w:iCs/>
          <w:sz w:val="20"/>
          <w:szCs w:val="20"/>
        </w:rPr>
        <w:t xml:space="preserve"> Response</w:t>
      </w:r>
      <w:r w:rsidR="0080763A">
        <w:rPr>
          <w:rFonts w:cstheme="minorHAnsi"/>
          <w:i/>
          <w:iCs/>
          <w:sz w:val="20"/>
          <w:szCs w:val="20"/>
        </w:rPr>
        <w:t xml:space="preserve"> </w:t>
      </w:r>
      <w:r w:rsidR="0080763A">
        <w:rPr>
          <w:rFonts w:cstheme="minorHAnsi"/>
          <w:sz w:val="20"/>
          <w:szCs w:val="20"/>
        </w:rPr>
        <w:t>(</w:t>
      </w:r>
      <w:proofErr w:type="spellStart"/>
      <w:r w:rsidR="0080763A">
        <w:rPr>
          <w:rFonts w:cstheme="minorHAnsi"/>
          <w:sz w:val="20"/>
          <w:szCs w:val="20"/>
        </w:rPr>
        <w:t>ProMarket</w:t>
      </w:r>
      <w:proofErr w:type="spellEnd"/>
      <w:r w:rsidR="0080763A">
        <w:rPr>
          <w:rFonts w:cstheme="minorHAnsi"/>
          <w:sz w:val="20"/>
          <w:szCs w:val="20"/>
        </w:rPr>
        <w:t xml:space="preserve">, </w:t>
      </w:r>
      <w:r w:rsidR="0080763A" w:rsidRPr="003B16AE">
        <w:rPr>
          <w:rFonts w:cstheme="minorHAnsi"/>
          <w:sz w:val="20"/>
          <w:szCs w:val="20"/>
        </w:rPr>
        <w:t>March 14, 2022</w:t>
      </w:r>
      <w:r w:rsidR="0080763A">
        <w:rPr>
          <w:rFonts w:cstheme="minorHAnsi"/>
          <w:sz w:val="20"/>
          <w:szCs w:val="20"/>
        </w:rPr>
        <w:t xml:space="preserve">) Online </w:t>
      </w:r>
      <w:hyperlink r:id="rId14" w:history="1">
        <w:r w:rsidR="0080763A" w:rsidRPr="003B16AE">
          <w:rPr>
            <w:rStyle w:val="Hyperlink"/>
            <w:rFonts w:cstheme="minorHAnsi"/>
            <w:sz w:val="20"/>
            <w:szCs w:val="20"/>
          </w:rPr>
          <w:t>here</w:t>
        </w:r>
      </w:hyperlink>
      <w:r w:rsidR="0080763A">
        <w:rPr>
          <w:rFonts w:cstheme="minorHAnsi"/>
          <w:sz w:val="20"/>
          <w:szCs w:val="20"/>
        </w:rPr>
        <w:t xml:space="preserve">. </w:t>
      </w:r>
    </w:p>
  </w:footnote>
  <w:footnote w:id="20">
    <w:p w14:paraId="3791B60B" w14:textId="55B52527" w:rsidR="00B33C7F" w:rsidRDefault="00B33C7F">
      <w:pPr>
        <w:pStyle w:val="FootnoteText"/>
        <w:rPr>
          <w:rFonts w:cstheme="minorHAnsi"/>
        </w:rPr>
      </w:pPr>
      <w:r w:rsidRPr="00DC1FC7">
        <w:rPr>
          <w:rStyle w:val="FootnoteReference"/>
          <w:rFonts w:cstheme="minorHAnsi"/>
        </w:rPr>
        <w:footnoteRef/>
      </w:r>
      <w:r w:rsidRPr="00DC1FC7">
        <w:rPr>
          <w:rFonts w:cstheme="minorHAnsi"/>
        </w:rPr>
        <w:t xml:space="preserve"> Ibid</w:t>
      </w:r>
      <w:r w:rsidR="00DA552C">
        <w:rPr>
          <w:rFonts w:cstheme="minorHAnsi"/>
        </w:rPr>
        <w:t>.</w:t>
      </w:r>
    </w:p>
    <w:p w14:paraId="215F19B8" w14:textId="77777777" w:rsidR="00DA552C" w:rsidRPr="00DC1FC7" w:rsidRDefault="00DA552C">
      <w:pPr>
        <w:pStyle w:val="FootnoteText"/>
        <w:rPr>
          <w:rFonts w:cstheme="minorHAnsi"/>
        </w:rPr>
      </w:pPr>
    </w:p>
  </w:footnote>
  <w:footnote w:id="21">
    <w:p w14:paraId="08A5AB22" w14:textId="782E65AE"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DA552C" w:rsidRPr="00F0227F">
        <w:rPr>
          <w:rFonts w:cstheme="minorHAnsi"/>
        </w:rPr>
        <w:t>Allum Bokhar</w:t>
      </w:r>
      <w:r w:rsidR="00DA552C">
        <w:rPr>
          <w:rFonts w:cstheme="minorHAnsi"/>
        </w:rPr>
        <w:t>i</w:t>
      </w:r>
      <w:r w:rsidR="00DA552C" w:rsidRPr="00F0227F">
        <w:rPr>
          <w:rFonts w:cstheme="minorHAnsi"/>
        </w:rPr>
        <w:t xml:space="preserve">, </w:t>
      </w:r>
      <w:r w:rsidR="00DA552C" w:rsidRPr="00F0227F">
        <w:rPr>
          <w:rFonts w:cstheme="minorHAnsi"/>
          <w:i/>
          <w:iCs/>
        </w:rPr>
        <w:t>FTC Commissioners Lina Khan, Rebecca Slaughter Pander to Far Left at Marxist-Linked Conference</w:t>
      </w:r>
      <w:r w:rsidR="00DA552C">
        <w:rPr>
          <w:rFonts w:cstheme="minorHAnsi"/>
        </w:rPr>
        <w:t xml:space="preserve"> (Breitbart, July 27, 2022) Online </w:t>
      </w:r>
      <w:hyperlink r:id="rId15" w:history="1">
        <w:r w:rsidR="00DA552C" w:rsidRPr="00F0227F">
          <w:rPr>
            <w:rStyle w:val="Hyperlink"/>
            <w:rFonts w:cstheme="minorHAnsi"/>
          </w:rPr>
          <w:t>here</w:t>
        </w:r>
      </w:hyperlink>
      <w:r w:rsidR="00DA552C">
        <w:rPr>
          <w:rFonts w:cstheme="minorHAnsi"/>
        </w:rPr>
        <w:t xml:space="preserve">. </w:t>
      </w:r>
    </w:p>
  </w:footnote>
  <w:footnote w:id="22">
    <w:p w14:paraId="56A2E7FB" w14:textId="6DE3C7DC"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DA552C" w:rsidRPr="00F0227F">
        <w:rPr>
          <w:rFonts w:cstheme="minorHAnsi"/>
        </w:rPr>
        <w:t>Tom Hebert</w:t>
      </w:r>
      <w:r w:rsidR="00DA552C">
        <w:rPr>
          <w:rFonts w:cstheme="minorHAnsi"/>
        </w:rPr>
        <w:t xml:space="preserve">, </w:t>
      </w:r>
      <w:r w:rsidR="00DA552C" w:rsidRPr="00F0227F">
        <w:rPr>
          <w:rFonts w:cstheme="minorHAnsi"/>
          <w:i/>
          <w:iCs/>
        </w:rPr>
        <w:t>Republicans Should See Through Klobuchar's Big Government FTC Bill</w:t>
      </w:r>
      <w:r w:rsidR="00DA552C">
        <w:rPr>
          <w:rFonts w:cstheme="minorHAnsi"/>
          <w:i/>
          <w:iCs/>
        </w:rPr>
        <w:t xml:space="preserve"> </w:t>
      </w:r>
      <w:r w:rsidR="00DA552C">
        <w:rPr>
          <w:rFonts w:cstheme="minorHAnsi"/>
        </w:rPr>
        <w:t xml:space="preserve">(Washington Examiner, </w:t>
      </w:r>
      <w:r w:rsidR="00DA552C" w:rsidRPr="00F0227F">
        <w:rPr>
          <w:rFonts w:cstheme="minorHAnsi"/>
        </w:rPr>
        <w:t>July 29, 2022</w:t>
      </w:r>
      <w:r w:rsidR="00DA552C">
        <w:rPr>
          <w:rFonts w:cstheme="minorHAnsi"/>
        </w:rPr>
        <w:t xml:space="preserve">) Online </w:t>
      </w:r>
      <w:hyperlink r:id="rId16" w:history="1">
        <w:r w:rsidR="00DA552C" w:rsidRPr="00861633">
          <w:rPr>
            <w:rStyle w:val="Hyperlink"/>
            <w:rFonts w:cstheme="minorHAnsi"/>
          </w:rPr>
          <w:t>here</w:t>
        </w:r>
      </w:hyperlink>
      <w:r w:rsidR="00DA552C">
        <w:rPr>
          <w:rFonts w:cstheme="minorHAnsi"/>
        </w:rPr>
        <w:t xml:space="preserve">. </w:t>
      </w:r>
    </w:p>
  </w:footnote>
  <w:footnote w:id="23">
    <w:p w14:paraId="1E8EF598" w14:textId="169A6426"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For more details on the problems with occupational </w:t>
      </w:r>
      <w:proofErr w:type="spellStart"/>
      <w:r w:rsidRPr="00DC1FC7">
        <w:rPr>
          <w:rFonts w:cstheme="minorHAnsi"/>
        </w:rPr>
        <w:t>lcensing</w:t>
      </w:r>
      <w:proofErr w:type="spellEnd"/>
      <w:r w:rsidRPr="00DC1FC7">
        <w:rPr>
          <w:rFonts w:cstheme="minorHAnsi"/>
        </w:rPr>
        <w:t xml:space="preserve"> see </w:t>
      </w:r>
      <w:hyperlink r:id="rId17" w:history="1">
        <w:r w:rsidRPr="00DC1FC7">
          <w:rPr>
            <w:rStyle w:val="Hyperlink"/>
            <w:rFonts w:cstheme="minorHAnsi"/>
          </w:rPr>
          <w:t>occupationallicensing.com</w:t>
        </w:r>
      </w:hyperlink>
    </w:p>
  </w:footnote>
  <w:footnote w:id="24">
    <w:p w14:paraId="13903BF0" w14:textId="3C00CE43"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117DB1" w:rsidRPr="00861633">
        <w:rPr>
          <w:rFonts w:cstheme="minorHAnsi"/>
          <w:i/>
          <w:iCs/>
        </w:rPr>
        <w:t>Cosmetology</w:t>
      </w:r>
      <w:r w:rsidR="00117DB1">
        <w:rPr>
          <w:rFonts w:cstheme="minorHAnsi"/>
        </w:rPr>
        <w:t xml:space="preserve">, (Institute for Justice, June 2021) Online </w:t>
      </w:r>
      <w:hyperlink r:id="rId18" w:history="1">
        <w:r w:rsidR="00117DB1" w:rsidRPr="00861633">
          <w:rPr>
            <w:rStyle w:val="Hyperlink"/>
            <w:rFonts w:cstheme="minorHAnsi"/>
          </w:rPr>
          <w:t>here</w:t>
        </w:r>
      </w:hyperlink>
      <w:r w:rsidR="00117DB1">
        <w:rPr>
          <w:rFonts w:cstheme="minorHAnsi"/>
        </w:rPr>
        <w:t>.</w:t>
      </w:r>
    </w:p>
  </w:footnote>
  <w:footnote w:id="25">
    <w:p w14:paraId="07C78F24" w14:textId="11959C80" w:rsidR="00B33C7F" w:rsidRDefault="00B33C7F">
      <w:pPr>
        <w:pStyle w:val="FootnoteText"/>
      </w:pPr>
      <w:r w:rsidRPr="00DC1FC7">
        <w:rPr>
          <w:rStyle w:val="FootnoteReference"/>
          <w:rFonts w:cstheme="minorHAnsi"/>
        </w:rPr>
        <w:footnoteRef/>
      </w:r>
      <w:r w:rsidRPr="00DC1FC7">
        <w:rPr>
          <w:rFonts w:cstheme="minorHAnsi"/>
        </w:rPr>
        <w:t xml:space="preserve"> </w:t>
      </w:r>
      <w:r w:rsidR="00546DD0" w:rsidRPr="00403EA7">
        <w:rPr>
          <w:i/>
          <w:iCs/>
        </w:rPr>
        <w:t>Economic Liberty</w:t>
      </w:r>
      <w:r w:rsidR="00546DD0">
        <w:t xml:space="preserve"> (Federal Trade Commission, Sept. 24, 2018) Online </w:t>
      </w:r>
      <w:hyperlink r:id="rId19" w:history="1">
        <w:r w:rsidR="00546DD0" w:rsidRPr="00403EA7">
          <w:rPr>
            <w:rStyle w:val="Hyperlink"/>
          </w:rPr>
          <w:t>here</w:t>
        </w:r>
      </w:hyperlink>
      <w:r w:rsidR="00546DD0">
        <w:t>.</w:t>
      </w:r>
    </w:p>
    <w:p w14:paraId="33A18DE7" w14:textId="77777777" w:rsidR="00546DD0" w:rsidRPr="00DC1FC7" w:rsidRDefault="00546DD0">
      <w:pPr>
        <w:pStyle w:val="FootnoteText"/>
        <w:rPr>
          <w:rFonts w:cstheme="minorHAnsi"/>
        </w:rPr>
      </w:pPr>
    </w:p>
  </w:footnote>
  <w:footnote w:id="26">
    <w:p w14:paraId="11986389" w14:textId="05F5AC9F"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BF7751">
        <w:rPr>
          <w:rFonts w:cstheme="minorHAnsi"/>
        </w:rPr>
        <w:t xml:space="preserve">Ron Paul, </w:t>
      </w:r>
      <w:r w:rsidR="00BF7751" w:rsidRPr="006226EF">
        <w:rPr>
          <w:rFonts w:cstheme="minorHAnsi"/>
          <w:i/>
          <w:iCs/>
        </w:rPr>
        <w:t>Oppose Foreign Ops Appropriations Conference Report</w:t>
      </w:r>
      <w:r w:rsidR="00BF7751">
        <w:rPr>
          <w:rFonts w:cstheme="minorHAnsi"/>
        </w:rPr>
        <w:t xml:space="preserve"> </w:t>
      </w:r>
      <w:r w:rsidR="00BF7751" w:rsidRPr="00BA0607">
        <w:rPr>
          <w:rFonts w:cstheme="minorHAnsi"/>
        </w:rPr>
        <w:t>(</w:t>
      </w:r>
      <w:r w:rsidR="00BF7751" w:rsidRPr="0038118D">
        <w:rPr>
          <w:rFonts w:cstheme="minorHAnsi"/>
        </w:rPr>
        <w:t>Dear Colleague</w:t>
      </w:r>
      <w:r w:rsidR="00BF7751">
        <w:rPr>
          <w:rFonts w:cstheme="minorHAnsi"/>
        </w:rPr>
        <w:t xml:space="preserve"> Congressional Letter, Nov. 3, 1997) Online </w:t>
      </w:r>
      <w:hyperlink r:id="rId20" w:history="1">
        <w:r w:rsidR="00BF7751" w:rsidRPr="009D2116">
          <w:rPr>
            <w:rStyle w:val="Hyperlink"/>
            <w:rFonts w:cstheme="minorHAnsi"/>
          </w:rPr>
          <w:t>here</w:t>
        </w:r>
      </w:hyperlink>
      <w:r w:rsidR="00BF7751">
        <w:rPr>
          <w:rFonts w:cstheme="minorHAnsi"/>
        </w:rPr>
        <w:t>.</w:t>
      </w:r>
    </w:p>
  </w:footnote>
  <w:footnote w:id="27">
    <w:p w14:paraId="16E9070F" w14:textId="3CEBFFCB"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E81245" w:rsidRPr="009B3CA2">
        <w:rPr>
          <w:rFonts w:cstheme="minorHAnsi"/>
        </w:rPr>
        <w:t>Norm Singleton</w:t>
      </w:r>
      <w:r w:rsidR="00E81245">
        <w:rPr>
          <w:rFonts w:cstheme="minorHAnsi"/>
        </w:rPr>
        <w:t xml:space="preserve">, </w:t>
      </w:r>
      <w:r w:rsidR="00E81245" w:rsidRPr="009B3CA2">
        <w:rPr>
          <w:rFonts w:cstheme="minorHAnsi"/>
          <w:i/>
          <w:iCs/>
        </w:rPr>
        <w:t xml:space="preserve">Ron Paul Classic: Close </w:t>
      </w:r>
      <w:r w:rsidR="00E81245">
        <w:rPr>
          <w:rFonts w:cstheme="minorHAnsi"/>
          <w:i/>
          <w:iCs/>
        </w:rPr>
        <w:t>D</w:t>
      </w:r>
      <w:r w:rsidR="00E81245" w:rsidRPr="009B3CA2">
        <w:rPr>
          <w:rFonts w:cstheme="minorHAnsi"/>
          <w:i/>
          <w:iCs/>
        </w:rPr>
        <w:t>own the Export-Import Bank</w:t>
      </w:r>
      <w:r w:rsidR="00E81245">
        <w:rPr>
          <w:rFonts w:cstheme="minorHAnsi"/>
        </w:rPr>
        <w:t xml:space="preserve"> (Campaign for Liberty, </w:t>
      </w:r>
      <w:r w:rsidR="00E81245" w:rsidRPr="009B3CA2">
        <w:rPr>
          <w:rFonts w:cstheme="minorHAnsi"/>
        </w:rPr>
        <w:t>April 24, 2014</w:t>
      </w:r>
      <w:r w:rsidR="00E81245">
        <w:rPr>
          <w:rFonts w:cstheme="minorHAnsi"/>
        </w:rPr>
        <w:t xml:space="preserve">) Online </w:t>
      </w:r>
      <w:hyperlink r:id="rId21" w:history="1">
        <w:r w:rsidR="00E81245" w:rsidRPr="009156DA">
          <w:rPr>
            <w:rStyle w:val="Hyperlink"/>
            <w:rFonts w:cstheme="minorHAnsi"/>
          </w:rPr>
          <w:t>here</w:t>
        </w:r>
      </w:hyperlink>
      <w:r w:rsidR="00E81245">
        <w:rPr>
          <w:rFonts w:cstheme="minorHAnsi"/>
        </w:rPr>
        <w:t>.</w:t>
      </w:r>
    </w:p>
  </w:footnote>
  <w:footnote w:id="28">
    <w:p w14:paraId="39C5EFA8" w14:textId="44C0D2C8" w:rsidR="00632DB1"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632DB1">
        <w:rPr>
          <w:rFonts w:cstheme="minorHAnsi"/>
        </w:rPr>
        <w:t xml:space="preserve">Paul Kupiec, </w:t>
      </w:r>
      <w:r w:rsidR="00632DB1" w:rsidRPr="005F6E73">
        <w:rPr>
          <w:rFonts w:cstheme="minorHAnsi"/>
          <w:i/>
          <w:iCs/>
        </w:rPr>
        <w:t>Dodd-Frank Doesn’t End “Too Big To Fail”</w:t>
      </w:r>
      <w:r w:rsidR="00632DB1">
        <w:rPr>
          <w:rFonts w:cstheme="minorHAnsi"/>
        </w:rPr>
        <w:t xml:space="preserve"> (</w:t>
      </w:r>
      <w:r w:rsidR="00632DB1" w:rsidRPr="008D7ABF">
        <w:rPr>
          <w:rFonts w:cstheme="minorHAnsi"/>
        </w:rPr>
        <w:t>The Hill,</w:t>
      </w:r>
      <w:r w:rsidR="00632DB1">
        <w:rPr>
          <w:rFonts w:cstheme="minorHAnsi"/>
        </w:rPr>
        <w:t xml:space="preserve"> July 30, 2014) Online </w:t>
      </w:r>
      <w:hyperlink r:id="rId22" w:anchor=":~:text=The%20Dodd-Frank%20Act%20was%20supposed%20to%20end%20investors%E2%80%99,instability%20unless%20the%20government%20protected%20investors%20from%20loss" w:history="1">
        <w:r w:rsidR="00632DB1" w:rsidRPr="005F6E73">
          <w:rPr>
            <w:rStyle w:val="Hyperlink"/>
            <w:rFonts w:cstheme="minorHAnsi"/>
          </w:rPr>
          <w:t>here</w:t>
        </w:r>
      </w:hyperlink>
      <w:r w:rsidR="00632DB1">
        <w:rPr>
          <w:rFonts w:cstheme="minorHAnsi"/>
        </w:rPr>
        <w:t>.</w:t>
      </w:r>
    </w:p>
  </w:footnote>
  <w:footnote w:id="29">
    <w:p w14:paraId="66BA49A1" w14:textId="3C988D27" w:rsidR="00746354" w:rsidRPr="00DC1FC7" w:rsidRDefault="00746354" w:rsidP="00746354">
      <w:pPr>
        <w:pStyle w:val="FootnoteText"/>
        <w:rPr>
          <w:rFonts w:cstheme="minorHAnsi"/>
        </w:rPr>
      </w:pPr>
      <w:r w:rsidRPr="00DC1FC7">
        <w:rPr>
          <w:rStyle w:val="FootnoteReference"/>
          <w:rFonts w:cstheme="minorHAnsi"/>
        </w:rPr>
        <w:footnoteRef/>
      </w:r>
      <w:r w:rsidRPr="00DC1FC7">
        <w:rPr>
          <w:rFonts w:cstheme="minorHAnsi"/>
        </w:rPr>
        <w:t xml:space="preserve"> </w:t>
      </w:r>
      <w:r w:rsidR="00CA6FB4">
        <w:rPr>
          <w:rFonts w:cstheme="minorHAnsi"/>
        </w:rPr>
        <w:t xml:space="preserve">Annie Pilon, </w:t>
      </w:r>
      <w:r w:rsidR="00CA6FB4" w:rsidRPr="00750805">
        <w:rPr>
          <w:rFonts w:cstheme="minorHAnsi"/>
          <w:i/>
          <w:iCs/>
        </w:rPr>
        <w:t>Look What These 25 Regulations Are Doing to Small Businesses</w:t>
      </w:r>
      <w:r w:rsidR="00CA6FB4">
        <w:rPr>
          <w:rFonts w:cstheme="minorHAnsi"/>
        </w:rPr>
        <w:t xml:space="preserve">, (Small </w:t>
      </w:r>
      <w:r w:rsidR="0082221A">
        <w:rPr>
          <w:rFonts w:cstheme="minorHAnsi"/>
        </w:rPr>
        <w:t>Business</w:t>
      </w:r>
      <w:r w:rsidR="00CA6FB4">
        <w:rPr>
          <w:rFonts w:cstheme="minorHAnsi"/>
        </w:rPr>
        <w:t xml:space="preserve"> Trends, Feb. 1, 2017) Online </w:t>
      </w:r>
      <w:hyperlink r:id="rId23" w:history="1">
        <w:r w:rsidR="00CA6FB4" w:rsidRPr="005F6E73">
          <w:rPr>
            <w:rStyle w:val="Hyperlink"/>
            <w:rFonts w:cstheme="minorHAnsi"/>
          </w:rPr>
          <w:t>here</w:t>
        </w:r>
      </w:hyperlink>
      <w:r w:rsidR="00CA6FB4">
        <w:rPr>
          <w:rFonts w:cstheme="minorHAnsi"/>
        </w:rPr>
        <w:t xml:space="preserve">. </w:t>
      </w:r>
    </w:p>
  </w:footnote>
  <w:footnote w:id="30">
    <w:p w14:paraId="13A7A625" w14:textId="218F233F" w:rsidR="00746354" w:rsidRPr="00DC1FC7" w:rsidRDefault="00746354" w:rsidP="0082221A">
      <w:pPr>
        <w:rPr>
          <w:rFonts w:cstheme="minorHAnsi"/>
        </w:rPr>
      </w:pPr>
      <w:r w:rsidRPr="00DC1FC7">
        <w:rPr>
          <w:rStyle w:val="FootnoteReference"/>
          <w:rFonts w:cstheme="minorHAnsi"/>
        </w:rPr>
        <w:footnoteRef/>
      </w:r>
      <w:r w:rsidRPr="00DC1FC7">
        <w:rPr>
          <w:rFonts w:cstheme="minorHAnsi"/>
        </w:rPr>
        <w:t xml:space="preserve"> </w:t>
      </w:r>
      <w:r w:rsidR="0082221A" w:rsidRPr="004604C6">
        <w:rPr>
          <w:rFonts w:cstheme="minorHAnsi"/>
          <w:sz w:val="20"/>
          <w:szCs w:val="20"/>
        </w:rPr>
        <w:t xml:space="preserve">Norman Singleton, </w:t>
      </w:r>
      <w:r w:rsidR="0082221A" w:rsidRPr="004604C6">
        <w:rPr>
          <w:rFonts w:cstheme="minorHAnsi"/>
          <w:i/>
          <w:iCs/>
          <w:sz w:val="20"/>
          <w:szCs w:val="20"/>
        </w:rPr>
        <w:t xml:space="preserve">Jimmy Carter, the Great Deregulator </w:t>
      </w:r>
      <w:r w:rsidR="0082221A" w:rsidRPr="004604C6">
        <w:rPr>
          <w:rFonts w:cstheme="minorHAnsi"/>
          <w:sz w:val="20"/>
          <w:szCs w:val="20"/>
        </w:rPr>
        <w:t>(The Libertarian Institute,</w:t>
      </w:r>
      <w:r w:rsidR="0082221A" w:rsidRPr="004604C6">
        <w:rPr>
          <w:rFonts w:cstheme="minorHAnsi"/>
          <w:i/>
          <w:iCs/>
          <w:sz w:val="20"/>
          <w:szCs w:val="20"/>
        </w:rPr>
        <w:t xml:space="preserve"> </w:t>
      </w:r>
      <w:r w:rsidR="0082221A" w:rsidRPr="004604C6">
        <w:rPr>
          <w:rFonts w:cstheme="minorHAnsi"/>
          <w:sz w:val="20"/>
          <w:szCs w:val="20"/>
        </w:rPr>
        <w:t xml:space="preserve">Feb. 11, 2022) Online </w:t>
      </w:r>
      <w:hyperlink r:id="rId24" w:history="1">
        <w:r w:rsidR="0082221A" w:rsidRPr="004604C6">
          <w:rPr>
            <w:rStyle w:val="Hyperlink"/>
            <w:rFonts w:cstheme="minorHAnsi"/>
            <w:sz w:val="20"/>
            <w:szCs w:val="20"/>
          </w:rPr>
          <w:t>here</w:t>
        </w:r>
      </w:hyperlink>
      <w:r w:rsidR="0082221A" w:rsidRPr="004604C6">
        <w:rPr>
          <w:rFonts w:cstheme="minorHAnsi"/>
          <w:sz w:val="20"/>
          <w:szCs w:val="20"/>
        </w:rPr>
        <w:t>.</w:t>
      </w:r>
      <w:r w:rsidR="0082221A">
        <w:rPr>
          <w:rFonts w:cstheme="minorHAnsi"/>
        </w:rPr>
        <w:t xml:space="preserve"> </w:t>
      </w:r>
    </w:p>
  </w:footnote>
  <w:footnote w:id="31">
    <w:p w14:paraId="05388B5E" w14:textId="77777777" w:rsidR="003130AC" w:rsidRDefault="003130AC" w:rsidP="003130AC">
      <w:pPr>
        <w:pStyle w:val="FootnoteText"/>
        <w:rPr>
          <w:rFonts w:cstheme="minorHAnsi"/>
        </w:rPr>
      </w:pPr>
      <w:r w:rsidRPr="00DC1FC7">
        <w:rPr>
          <w:rStyle w:val="FootnoteReference"/>
          <w:rFonts w:cstheme="minorHAnsi"/>
        </w:rPr>
        <w:footnoteRef/>
      </w:r>
      <w:r w:rsidRPr="00DC1FC7">
        <w:rPr>
          <w:rFonts w:cstheme="minorHAnsi"/>
        </w:rPr>
        <w:t xml:space="preserve"> Ibid</w:t>
      </w:r>
      <w:r>
        <w:rPr>
          <w:rFonts w:cstheme="minorHAnsi"/>
        </w:rPr>
        <w:t xml:space="preserve">. </w:t>
      </w:r>
    </w:p>
    <w:p w14:paraId="65475702" w14:textId="77777777" w:rsidR="003130AC" w:rsidRPr="00DC1FC7" w:rsidRDefault="003130AC" w:rsidP="003130AC">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BF2F" w14:textId="77111D49" w:rsidR="00DE15DB" w:rsidRDefault="00DE15DB">
    <w:pPr>
      <w:pStyle w:val="Header"/>
    </w:pPr>
    <w:r>
      <w:rPr>
        <w:noProof/>
      </w:rPr>
      <w:drawing>
        <wp:anchor distT="0" distB="0" distL="114300" distR="114300" simplePos="0" relativeHeight="251658240" behindDoc="0" locked="0" layoutInCell="1" allowOverlap="1" wp14:anchorId="669D7BAB" wp14:editId="2404DC69">
          <wp:simplePos x="0" y="0"/>
          <wp:positionH relativeFrom="margin">
            <wp:posOffset>-309880</wp:posOffset>
          </wp:positionH>
          <wp:positionV relativeFrom="paragraph">
            <wp:posOffset>227965</wp:posOffset>
          </wp:positionV>
          <wp:extent cx="1689100" cy="1079500"/>
          <wp:effectExtent l="0" t="0" r="6350" b="635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AE"/>
    <w:multiLevelType w:val="hybridMultilevel"/>
    <w:tmpl w:val="6CF2E722"/>
    <w:lvl w:ilvl="0" w:tplc="7CFEA1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687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4"/>
    <w:rsid w:val="00011834"/>
    <w:rsid w:val="00046C4B"/>
    <w:rsid w:val="00047BB9"/>
    <w:rsid w:val="00051C47"/>
    <w:rsid w:val="0006567B"/>
    <w:rsid w:val="0007138F"/>
    <w:rsid w:val="000915FF"/>
    <w:rsid w:val="000953F4"/>
    <w:rsid w:val="000A3C13"/>
    <w:rsid w:val="000C6F56"/>
    <w:rsid w:val="000D42BD"/>
    <w:rsid w:val="00101563"/>
    <w:rsid w:val="00117DB1"/>
    <w:rsid w:val="0013670D"/>
    <w:rsid w:val="001544A3"/>
    <w:rsid w:val="00154DFA"/>
    <w:rsid w:val="001A658D"/>
    <w:rsid w:val="001C18FE"/>
    <w:rsid w:val="001C312C"/>
    <w:rsid w:val="001C5522"/>
    <w:rsid w:val="001D0864"/>
    <w:rsid w:val="001D4CD5"/>
    <w:rsid w:val="001E50F3"/>
    <w:rsid w:val="001F43B4"/>
    <w:rsid w:val="002070D8"/>
    <w:rsid w:val="00234B4F"/>
    <w:rsid w:val="00236A1E"/>
    <w:rsid w:val="00254F8F"/>
    <w:rsid w:val="002661F3"/>
    <w:rsid w:val="002B17F4"/>
    <w:rsid w:val="002B312C"/>
    <w:rsid w:val="002D678C"/>
    <w:rsid w:val="002F4E92"/>
    <w:rsid w:val="003130AC"/>
    <w:rsid w:val="0031536B"/>
    <w:rsid w:val="00317A7E"/>
    <w:rsid w:val="00330603"/>
    <w:rsid w:val="00340220"/>
    <w:rsid w:val="00341766"/>
    <w:rsid w:val="00355E00"/>
    <w:rsid w:val="0038118D"/>
    <w:rsid w:val="003A36E2"/>
    <w:rsid w:val="003D1AA9"/>
    <w:rsid w:val="003E07E4"/>
    <w:rsid w:val="003E08AB"/>
    <w:rsid w:val="003F297A"/>
    <w:rsid w:val="003F3835"/>
    <w:rsid w:val="004349AE"/>
    <w:rsid w:val="004604C6"/>
    <w:rsid w:val="00477CA7"/>
    <w:rsid w:val="004B0D05"/>
    <w:rsid w:val="004C17F3"/>
    <w:rsid w:val="004D385A"/>
    <w:rsid w:val="004E0EE4"/>
    <w:rsid w:val="004F3243"/>
    <w:rsid w:val="004F4F7D"/>
    <w:rsid w:val="0050096B"/>
    <w:rsid w:val="0051239B"/>
    <w:rsid w:val="005211CE"/>
    <w:rsid w:val="00546DD0"/>
    <w:rsid w:val="0059175D"/>
    <w:rsid w:val="005A4890"/>
    <w:rsid w:val="005B137D"/>
    <w:rsid w:val="005F74A3"/>
    <w:rsid w:val="00600D9F"/>
    <w:rsid w:val="006033A4"/>
    <w:rsid w:val="00614A18"/>
    <w:rsid w:val="00632DB1"/>
    <w:rsid w:val="006407DA"/>
    <w:rsid w:val="006449B3"/>
    <w:rsid w:val="0064622B"/>
    <w:rsid w:val="00653EA0"/>
    <w:rsid w:val="00656F39"/>
    <w:rsid w:val="006B7430"/>
    <w:rsid w:val="006C02DE"/>
    <w:rsid w:val="006E078B"/>
    <w:rsid w:val="006E2A42"/>
    <w:rsid w:val="006F4B70"/>
    <w:rsid w:val="00700C29"/>
    <w:rsid w:val="00705720"/>
    <w:rsid w:val="00713246"/>
    <w:rsid w:val="00726A57"/>
    <w:rsid w:val="00746354"/>
    <w:rsid w:val="00747D67"/>
    <w:rsid w:val="00754A42"/>
    <w:rsid w:val="007712F5"/>
    <w:rsid w:val="007864CE"/>
    <w:rsid w:val="007931EC"/>
    <w:rsid w:val="007A1452"/>
    <w:rsid w:val="007F1C91"/>
    <w:rsid w:val="007F69BE"/>
    <w:rsid w:val="0080763A"/>
    <w:rsid w:val="00811478"/>
    <w:rsid w:val="0082221A"/>
    <w:rsid w:val="008317EA"/>
    <w:rsid w:val="008352A5"/>
    <w:rsid w:val="00846084"/>
    <w:rsid w:val="00850A71"/>
    <w:rsid w:val="00851648"/>
    <w:rsid w:val="00854B19"/>
    <w:rsid w:val="00864CDB"/>
    <w:rsid w:val="0086719A"/>
    <w:rsid w:val="008718E5"/>
    <w:rsid w:val="00872C78"/>
    <w:rsid w:val="008C56FB"/>
    <w:rsid w:val="008D7ABF"/>
    <w:rsid w:val="008E5DC7"/>
    <w:rsid w:val="00910265"/>
    <w:rsid w:val="00912E8A"/>
    <w:rsid w:val="00914CC7"/>
    <w:rsid w:val="009217FD"/>
    <w:rsid w:val="0094034F"/>
    <w:rsid w:val="00952237"/>
    <w:rsid w:val="00961D95"/>
    <w:rsid w:val="00962597"/>
    <w:rsid w:val="009719EF"/>
    <w:rsid w:val="009C3104"/>
    <w:rsid w:val="009C4D18"/>
    <w:rsid w:val="009D19D1"/>
    <w:rsid w:val="009D498C"/>
    <w:rsid w:val="009E17BA"/>
    <w:rsid w:val="009E53EC"/>
    <w:rsid w:val="009F6E98"/>
    <w:rsid w:val="009F7788"/>
    <w:rsid w:val="00A1030A"/>
    <w:rsid w:val="00A37E0D"/>
    <w:rsid w:val="00A4146D"/>
    <w:rsid w:val="00A474CE"/>
    <w:rsid w:val="00A53683"/>
    <w:rsid w:val="00A5413F"/>
    <w:rsid w:val="00A54A18"/>
    <w:rsid w:val="00A7414A"/>
    <w:rsid w:val="00A968BC"/>
    <w:rsid w:val="00AA15AA"/>
    <w:rsid w:val="00AD3371"/>
    <w:rsid w:val="00B06361"/>
    <w:rsid w:val="00B06AD5"/>
    <w:rsid w:val="00B2122B"/>
    <w:rsid w:val="00B33C7F"/>
    <w:rsid w:val="00B60EB5"/>
    <w:rsid w:val="00B81696"/>
    <w:rsid w:val="00B92B51"/>
    <w:rsid w:val="00B97CFC"/>
    <w:rsid w:val="00BA0607"/>
    <w:rsid w:val="00BD4456"/>
    <w:rsid w:val="00BF7751"/>
    <w:rsid w:val="00C11B83"/>
    <w:rsid w:val="00C31A8D"/>
    <w:rsid w:val="00C4689A"/>
    <w:rsid w:val="00C57B67"/>
    <w:rsid w:val="00C63E35"/>
    <w:rsid w:val="00C8241C"/>
    <w:rsid w:val="00CA6FB4"/>
    <w:rsid w:val="00CC7F12"/>
    <w:rsid w:val="00D122FE"/>
    <w:rsid w:val="00D5072F"/>
    <w:rsid w:val="00D551A4"/>
    <w:rsid w:val="00D605A1"/>
    <w:rsid w:val="00D61B6A"/>
    <w:rsid w:val="00D871AA"/>
    <w:rsid w:val="00D87BFB"/>
    <w:rsid w:val="00D92147"/>
    <w:rsid w:val="00D95259"/>
    <w:rsid w:val="00DA5525"/>
    <w:rsid w:val="00DA552C"/>
    <w:rsid w:val="00DC1FC7"/>
    <w:rsid w:val="00DC3D6E"/>
    <w:rsid w:val="00DC7743"/>
    <w:rsid w:val="00DE15DB"/>
    <w:rsid w:val="00DE3C60"/>
    <w:rsid w:val="00DF40CB"/>
    <w:rsid w:val="00E044F2"/>
    <w:rsid w:val="00E07E38"/>
    <w:rsid w:val="00E11756"/>
    <w:rsid w:val="00E12636"/>
    <w:rsid w:val="00E32307"/>
    <w:rsid w:val="00E345E0"/>
    <w:rsid w:val="00E373D3"/>
    <w:rsid w:val="00E37642"/>
    <w:rsid w:val="00E426C8"/>
    <w:rsid w:val="00E479F1"/>
    <w:rsid w:val="00E52F7C"/>
    <w:rsid w:val="00E81245"/>
    <w:rsid w:val="00EC4C90"/>
    <w:rsid w:val="00ED571B"/>
    <w:rsid w:val="00EE197B"/>
    <w:rsid w:val="00EF6953"/>
    <w:rsid w:val="00F048B1"/>
    <w:rsid w:val="00F156BA"/>
    <w:rsid w:val="00F23265"/>
    <w:rsid w:val="00F360DE"/>
    <w:rsid w:val="00F404C9"/>
    <w:rsid w:val="00F56967"/>
    <w:rsid w:val="00F87229"/>
    <w:rsid w:val="00FD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D33BD"/>
  <w15:chartTrackingRefBased/>
  <w15:docId w15:val="{5721F068-6466-4B5E-AB66-85951F1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354"/>
  </w:style>
  <w:style w:type="paragraph" w:styleId="Heading1">
    <w:name w:val="heading 1"/>
    <w:basedOn w:val="Normal"/>
    <w:link w:val="Heading1Char"/>
    <w:uiPriority w:val="9"/>
    <w:qFormat/>
    <w:rsid w:val="00746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35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4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54"/>
  </w:style>
  <w:style w:type="paragraph" w:styleId="Footer">
    <w:name w:val="footer"/>
    <w:basedOn w:val="Normal"/>
    <w:link w:val="FooterChar"/>
    <w:uiPriority w:val="99"/>
    <w:unhideWhenUsed/>
    <w:qFormat/>
    <w:rsid w:val="0074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54"/>
  </w:style>
  <w:style w:type="paragraph" w:styleId="FootnoteText">
    <w:name w:val="footnote text"/>
    <w:basedOn w:val="Normal"/>
    <w:link w:val="FootnoteTextChar"/>
    <w:uiPriority w:val="99"/>
    <w:unhideWhenUsed/>
    <w:rsid w:val="00746354"/>
    <w:pPr>
      <w:spacing w:after="0" w:line="240" w:lineRule="auto"/>
    </w:pPr>
    <w:rPr>
      <w:sz w:val="20"/>
      <w:szCs w:val="20"/>
    </w:rPr>
  </w:style>
  <w:style w:type="character" w:customStyle="1" w:styleId="FootnoteTextChar">
    <w:name w:val="Footnote Text Char"/>
    <w:basedOn w:val="DefaultParagraphFont"/>
    <w:link w:val="FootnoteText"/>
    <w:uiPriority w:val="99"/>
    <w:rsid w:val="00746354"/>
    <w:rPr>
      <w:sz w:val="20"/>
      <w:szCs w:val="20"/>
    </w:rPr>
  </w:style>
  <w:style w:type="character" w:styleId="FootnoteReference">
    <w:name w:val="footnote reference"/>
    <w:basedOn w:val="DefaultParagraphFont"/>
    <w:uiPriority w:val="99"/>
    <w:semiHidden/>
    <w:unhideWhenUsed/>
    <w:rsid w:val="00746354"/>
    <w:rPr>
      <w:vertAlign w:val="superscript"/>
    </w:rPr>
  </w:style>
  <w:style w:type="character" w:styleId="Hyperlink">
    <w:name w:val="Hyperlink"/>
    <w:basedOn w:val="DefaultParagraphFont"/>
    <w:uiPriority w:val="99"/>
    <w:unhideWhenUsed/>
    <w:rsid w:val="00746354"/>
    <w:rPr>
      <w:color w:val="0000FF"/>
      <w:u w:val="single"/>
    </w:rPr>
  </w:style>
  <w:style w:type="paragraph" w:styleId="NormalWeb">
    <w:name w:val="Normal (Web)"/>
    <w:basedOn w:val="Normal"/>
    <w:uiPriority w:val="99"/>
    <w:unhideWhenUsed/>
    <w:rsid w:val="00746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354"/>
    <w:rPr>
      <w:i/>
      <w:iCs/>
    </w:rPr>
  </w:style>
  <w:style w:type="paragraph" w:styleId="EndnoteText">
    <w:name w:val="endnote text"/>
    <w:basedOn w:val="Normal"/>
    <w:link w:val="EndnoteTextChar"/>
    <w:uiPriority w:val="99"/>
    <w:semiHidden/>
    <w:unhideWhenUsed/>
    <w:rsid w:val="00653E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3EA0"/>
    <w:rPr>
      <w:sz w:val="20"/>
      <w:szCs w:val="20"/>
    </w:rPr>
  </w:style>
  <w:style w:type="character" w:styleId="EndnoteReference">
    <w:name w:val="endnote reference"/>
    <w:basedOn w:val="DefaultParagraphFont"/>
    <w:uiPriority w:val="99"/>
    <w:semiHidden/>
    <w:unhideWhenUsed/>
    <w:rsid w:val="00653EA0"/>
    <w:rPr>
      <w:vertAlign w:val="superscript"/>
    </w:rPr>
  </w:style>
  <w:style w:type="character" w:styleId="UnresolvedMention">
    <w:name w:val="Unresolved Mention"/>
    <w:basedOn w:val="DefaultParagraphFont"/>
    <w:uiPriority w:val="99"/>
    <w:semiHidden/>
    <w:unhideWhenUsed/>
    <w:rsid w:val="00DC1FC7"/>
    <w:rPr>
      <w:color w:val="605E5C"/>
      <w:shd w:val="clear" w:color="auto" w:fill="E1DFDD"/>
    </w:rPr>
  </w:style>
  <w:style w:type="paragraph" w:styleId="Revision">
    <w:name w:val="Revision"/>
    <w:hidden/>
    <w:uiPriority w:val="99"/>
    <w:semiHidden/>
    <w:rsid w:val="001D0864"/>
    <w:pPr>
      <w:spacing w:after="0" w:line="240" w:lineRule="auto"/>
    </w:pPr>
  </w:style>
  <w:style w:type="paragraph" w:styleId="ListParagraph">
    <w:name w:val="List Paragraph"/>
    <w:basedOn w:val="Normal"/>
    <w:uiPriority w:val="34"/>
    <w:qFormat/>
    <w:rsid w:val="00B2122B"/>
    <w:pPr>
      <w:ind w:left="720"/>
      <w:contextualSpacing/>
    </w:pPr>
  </w:style>
  <w:style w:type="character" w:styleId="CommentReference">
    <w:name w:val="annotation reference"/>
    <w:basedOn w:val="DefaultParagraphFont"/>
    <w:uiPriority w:val="99"/>
    <w:semiHidden/>
    <w:unhideWhenUsed/>
    <w:rsid w:val="00BD4456"/>
    <w:rPr>
      <w:sz w:val="16"/>
      <w:szCs w:val="16"/>
    </w:rPr>
  </w:style>
  <w:style w:type="paragraph" w:styleId="CommentText">
    <w:name w:val="annotation text"/>
    <w:basedOn w:val="Normal"/>
    <w:link w:val="CommentTextChar"/>
    <w:uiPriority w:val="99"/>
    <w:semiHidden/>
    <w:unhideWhenUsed/>
    <w:rsid w:val="00BD4456"/>
    <w:pPr>
      <w:spacing w:line="240" w:lineRule="auto"/>
    </w:pPr>
    <w:rPr>
      <w:sz w:val="20"/>
      <w:szCs w:val="20"/>
    </w:rPr>
  </w:style>
  <w:style w:type="character" w:customStyle="1" w:styleId="CommentTextChar">
    <w:name w:val="Comment Text Char"/>
    <w:basedOn w:val="DefaultParagraphFont"/>
    <w:link w:val="CommentText"/>
    <w:uiPriority w:val="99"/>
    <w:semiHidden/>
    <w:rsid w:val="00BD4456"/>
    <w:rPr>
      <w:sz w:val="20"/>
      <w:szCs w:val="20"/>
    </w:rPr>
  </w:style>
  <w:style w:type="paragraph" w:styleId="CommentSubject">
    <w:name w:val="annotation subject"/>
    <w:basedOn w:val="CommentText"/>
    <w:next w:val="CommentText"/>
    <w:link w:val="CommentSubjectChar"/>
    <w:uiPriority w:val="99"/>
    <w:semiHidden/>
    <w:unhideWhenUsed/>
    <w:rsid w:val="00BD4456"/>
    <w:rPr>
      <w:b/>
      <w:bCs/>
    </w:rPr>
  </w:style>
  <w:style w:type="character" w:customStyle="1" w:styleId="CommentSubjectChar">
    <w:name w:val="Comment Subject Char"/>
    <w:basedOn w:val="CommentTextChar"/>
    <w:link w:val="CommentSubject"/>
    <w:uiPriority w:val="99"/>
    <w:semiHidden/>
    <w:rsid w:val="00BD4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4455">
      <w:bodyDiv w:val="1"/>
      <w:marLeft w:val="0"/>
      <w:marRight w:val="0"/>
      <w:marTop w:val="0"/>
      <w:marBottom w:val="0"/>
      <w:divBdr>
        <w:top w:val="none" w:sz="0" w:space="0" w:color="auto"/>
        <w:left w:val="none" w:sz="0" w:space="0" w:color="auto"/>
        <w:bottom w:val="none" w:sz="0" w:space="0" w:color="auto"/>
        <w:right w:val="none" w:sz="0" w:space="0" w:color="auto"/>
      </w:divBdr>
    </w:div>
    <w:div w:id="12771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oley.com/news/insight/2021/2021-04-29-amg-v-ftc" TargetMode="External"/><Relationship Id="rId13" Type="http://schemas.openxmlformats.org/officeDocument/2006/relationships/hyperlink" Target="https://mises.org/library/consumer-sovereignty-what-mises-meant" TargetMode="External"/><Relationship Id="rId18" Type="http://schemas.openxmlformats.org/officeDocument/2006/relationships/hyperlink" Target="https://ij.org/issues/economic-liberty/cosmetology/" TargetMode="External"/><Relationship Id="rId3" Type="http://schemas.openxmlformats.org/officeDocument/2006/relationships/hyperlink" Target="https://www.ftc.gov/system/files/ftc_gov/pdf/returning_to_fairness_prepared_remarks_commissioner_alvaro_bedoya.pdf" TargetMode="External"/><Relationship Id="rId21" Type="http://schemas.openxmlformats.org/officeDocument/2006/relationships/hyperlink" Target="http://www.campaignforliberty.org/national-blog/classic-ron-paul-close-export-import-bank/" TargetMode="External"/><Relationship Id="rId7" Type="http://schemas.openxmlformats.org/officeDocument/2006/relationships/hyperlink" Target="https://www.cnbc.com/2021/09/23/ftc-chair-khan-outlines-vision-for-antitrust-enforcement-consumer-protection.html?&amp;qsearchterm=Lina%20Khan" TargetMode="External"/><Relationship Id="rId12" Type="http://schemas.openxmlformats.org/officeDocument/2006/relationships/hyperlink" Target="https://prospect.org/economy/rehabilitation-antitrust/" TargetMode="External"/><Relationship Id="rId17" Type="http://schemas.openxmlformats.org/officeDocument/2006/relationships/hyperlink" Target="https://occupationallicensing.com/" TargetMode="External"/><Relationship Id="rId2" Type="http://schemas.openxmlformats.org/officeDocument/2006/relationships/hyperlink" Target="https://www.ftc.gov/system/files/ftc_gov/pdf/KhanRemarksFordhamAntitrust20220916.pdf" TargetMode="External"/><Relationship Id="rId16" Type="http://schemas.openxmlformats.org/officeDocument/2006/relationships/hyperlink" Target="https://www.washingtonexaminer.com/restoring-america/fairness-justice/republicans-should-see-through-klobuchars-big-government-ftc-bill" TargetMode="External"/><Relationship Id="rId20" Type="http://schemas.openxmlformats.org/officeDocument/2006/relationships/hyperlink" Target="https://www.scribd.com/document/53163328/Ron-Paul-Dear-Colleague-on-IMF" TargetMode="External"/><Relationship Id="rId1" Type="http://schemas.openxmlformats.org/officeDocument/2006/relationships/hyperlink" Target="https://www.ftc.gov/system/files/ftc_gov/pdf/P221202Section5PolicyStatement.pdf" TargetMode="External"/><Relationship Id="rId6" Type="http://schemas.openxmlformats.org/officeDocument/2006/relationships/hyperlink" Target="https://digitalcommons.tourolaw.edu/cgi/viewcontent.cgi?article=2808&amp;context=lawreview" TargetMode="External"/><Relationship Id="rId11" Type="http://schemas.openxmlformats.org/officeDocument/2006/relationships/hyperlink" Target="https://springboardccia.com/2020/05/28/a-brief-history-of-the-consumer-welfare-standard/" TargetMode="External"/><Relationship Id="rId24" Type="http://schemas.openxmlformats.org/officeDocument/2006/relationships/hyperlink" Target="https://libertarianinstitute.org/articles/jimmy-carter-the-great-deregulator/" TargetMode="External"/><Relationship Id="rId5" Type="http://schemas.openxmlformats.org/officeDocument/2006/relationships/hyperlink" Target="https://www.project-disco.org/competition/052121-the-curse-of-tradeoffs-neo-brandeisian-antitrust-versus-consumers/" TargetMode="External"/><Relationship Id="rId15" Type="http://schemas.openxmlformats.org/officeDocument/2006/relationships/hyperlink" Target="https://www.breitbart.com/tech/2022/07/27/ftc-commissioners-lina-khan-rebecca-slaughter-pander-to-far-left-at-marxist-linked-conference/" TargetMode="External"/><Relationship Id="rId23" Type="http://schemas.openxmlformats.org/officeDocument/2006/relationships/hyperlink" Target="https://smallbiztrends.com/2017/02/regulations-that-hurt-small-businesses.html" TargetMode="External"/><Relationship Id="rId10" Type="http://schemas.openxmlformats.org/officeDocument/2006/relationships/hyperlink" Target="https://gai.gmu.edu/wp-content/uploads/sites/27/2017/04/Consumer-Welfare-and-the-Legacy-of-Robert-Bork.pdf" TargetMode="External"/><Relationship Id="rId19" Type="http://schemas.openxmlformats.org/officeDocument/2006/relationships/hyperlink" Target="https://www.ftc.gov/policy/advocacy-research/advocacy/economic-liberty" TargetMode="External"/><Relationship Id="rId4" Type="http://schemas.openxmlformats.org/officeDocument/2006/relationships/hyperlink" Target="https://papers.ssrn.com/sol3/papers.cfm?abstract_id=2911742" TargetMode="External"/><Relationship Id="rId9" Type="http://schemas.openxmlformats.org/officeDocument/2006/relationships/hyperlink" Target="https://www.theregreview.org/2022/03/21/pierce-important-changes-at-the-intersection-antitrust-administrative-law/" TargetMode="External"/><Relationship Id="rId14" Type="http://schemas.openxmlformats.org/officeDocument/2006/relationships/hyperlink" Target="https://www.promarket.org/2022/03/14/the-consumer-welfare-standard-and-antitrust-enforcement-properly-understood/" TargetMode="External"/><Relationship Id="rId22" Type="http://schemas.openxmlformats.org/officeDocument/2006/relationships/hyperlink" Target="https://thehill.com/opinion/op-ed/213871-dodd-frank-doesnt-end-too-big-to-f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82AC-DD4D-494B-966C-90E3574A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3200</Words>
  <Characters>17827</Characters>
  <Application>Microsoft Office Word</Application>
  <DocSecurity>0</DocSecurity>
  <Lines>1048</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Singleton</dc:creator>
  <cp:keywords/>
  <dc:description/>
  <cp:lastModifiedBy>Charles Sauer</cp:lastModifiedBy>
  <cp:revision>2</cp:revision>
  <cp:lastPrinted>2023-01-23T23:24:00Z</cp:lastPrinted>
  <dcterms:created xsi:type="dcterms:W3CDTF">2023-04-26T18:50:00Z</dcterms:created>
  <dcterms:modified xsi:type="dcterms:W3CDTF">2023-04-26T18:50:00Z</dcterms:modified>
</cp:coreProperties>
</file>